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76" w:type="dxa"/>
        <w:tblInd w:w="269" w:type="dxa"/>
        <w:tblBorders>
          <w:left w:val="single" w:sz="4" w:space="0" w:color="000000"/>
        </w:tblBorders>
        <w:tblLayout w:type="fixed"/>
        <w:tblCellMar>
          <w:left w:w="115" w:type="dxa"/>
          <w:right w:w="115" w:type="dxa"/>
        </w:tblCellMar>
        <w:tblLook w:val="0400" w:firstRow="0" w:lastRow="0" w:firstColumn="0" w:lastColumn="0" w:noHBand="0" w:noVBand="1"/>
      </w:tblPr>
      <w:tblGrid>
        <w:gridCol w:w="9076"/>
      </w:tblGrid>
      <w:tr w:rsidR="00AD22EF" w:rsidRPr="00DE1BD4" w14:paraId="0052AB28" w14:textId="77777777" w:rsidTr="00E27DD9">
        <w:tc>
          <w:tcPr>
            <w:tcW w:w="9076" w:type="dxa"/>
            <w:tcBorders>
              <w:left w:val="single" w:sz="12" w:space="0" w:color="000000"/>
            </w:tcBorders>
            <w:vAlign w:val="center"/>
          </w:tcPr>
          <w:p w14:paraId="3C4F40EE" w14:textId="5F116A15" w:rsidR="00852C68" w:rsidRPr="00DE1BD4" w:rsidRDefault="00536828" w:rsidP="00536828">
            <w:pPr>
              <w:pStyle w:val="Title"/>
              <w:rPr>
                <w:sz w:val="48"/>
              </w:rPr>
            </w:pPr>
            <w:r w:rsidRPr="00DE1BD4">
              <w:rPr>
                <w:sz w:val="48"/>
              </w:rPr>
              <w:t xml:space="preserve"> </w:t>
            </w:r>
            <w:r w:rsidR="0064399B">
              <w:rPr>
                <w:sz w:val="48"/>
              </w:rPr>
              <w:t xml:space="preserve">Republic of </w:t>
            </w:r>
            <w:r w:rsidR="0098261C">
              <w:rPr>
                <w:sz w:val="48"/>
              </w:rPr>
              <w:t>The Gambia</w:t>
            </w:r>
            <w:r w:rsidR="006A48F1" w:rsidRPr="00DE1BD4">
              <w:rPr>
                <w:sz w:val="48"/>
              </w:rPr>
              <w:br/>
            </w:r>
          </w:p>
          <w:p w14:paraId="58B627CC" w14:textId="0B249725" w:rsidR="00852C68" w:rsidRPr="00DE1BD4" w:rsidRDefault="00852C68" w:rsidP="00536828">
            <w:pPr>
              <w:pStyle w:val="Title"/>
              <w:rPr>
                <w:sz w:val="48"/>
              </w:rPr>
            </w:pPr>
            <w:r w:rsidRPr="00DE1BD4">
              <w:rPr>
                <w:sz w:val="48"/>
              </w:rPr>
              <w:t xml:space="preserve">National </w:t>
            </w:r>
            <w:r w:rsidR="00536828" w:rsidRPr="00DE1BD4">
              <w:rPr>
                <w:sz w:val="48"/>
              </w:rPr>
              <w:t>Emergency Telecommunications Pla</w:t>
            </w:r>
            <w:r w:rsidRPr="00DE1BD4">
              <w:rPr>
                <w:sz w:val="48"/>
              </w:rPr>
              <w:t>n</w:t>
            </w:r>
          </w:p>
          <w:p w14:paraId="3181536E" w14:textId="77777777" w:rsidR="00852C68" w:rsidRPr="00DE1BD4" w:rsidRDefault="00852C68" w:rsidP="00852C68">
            <w:pPr>
              <w:pStyle w:val="Title"/>
              <w:rPr>
                <w:sz w:val="48"/>
              </w:rPr>
            </w:pPr>
          </w:p>
          <w:p w14:paraId="37D1C3A1" w14:textId="207E8A03" w:rsidR="00852C68" w:rsidRPr="00DE1BD4" w:rsidRDefault="00852C68" w:rsidP="00852C68">
            <w:pPr>
              <w:pStyle w:val="Title"/>
              <w:rPr>
                <w:sz w:val="48"/>
              </w:rPr>
            </w:pPr>
            <w:r w:rsidRPr="00DE1BD4">
              <w:rPr>
                <w:sz w:val="48"/>
              </w:rPr>
              <w:t>(NETP)</w:t>
            </w:r>
          </w:p>
          <w:p w14:paraId="1592B782" w14:textId="77777777" w:rsidR="00852C68" w:rsidRPr="00DE1BD4" w:rsidRDefault="00852C68" w:rsidP="00536828">
            <w:pPr>
              <w:pStyle w:val="Title"/>
              <w:rPr>
                <w:sz w:val="48"/>
              </w:rPr>
            </w:pPr>
          </w:p>
          <w:p w14:paraId="664ABBEF" w14:textId="1BD7230F" w:rsidR="00852C68" w:rsidRPr="00DE1BD4" w:rsidRDefault="00852C68" w:rsidP="00536828">
            <w:pPr>
              <w:pStyle w:val="Title"/>
              <w:rPr>
                <w:sz w:val="48"/>
              </w:rPr>
            </w:pPr>
          </w:p>
          <w:p w14:paraId="45CECE25" w14:textId="77777777" w:rsidR="00852C68" w:rsidRPr="00DE1BD4" w:rsidRDefault="00852C68" w:rsidP="00852C68"/>
          <w:p w14:paraId="132966F0" w14:textId="52A154BE" w:rsidR="00852C68" w:rsidRPr="00DE1BD4" w:rsidRDefault="00852C68" w:rsidP="00852C68"/>
          <w:p w14:paraId="0BBBA830" w14:textId="77777777" w:rsidR="00536828" w:rsidRPr="00DE1BD4" w:rsidRDefault="00536828" w:rsidP="0087357E">
            <w:pPr>
              <w:pBdr>
                <w:top w:val="nil"/>
                <w:left w:val="nil"/>
                <w:bottom w:val="nil"/>
                <w:right w:val="nil"/>
                <w:between w:val="nil"/>
              </w:pBdr>
              <w:spacing w:after="0" w:line="240" w:lineRule="auto"/>
              <w:ind w:left="329"/>
              <w:jc w:val="left"/>
              <w:rPr>
                <w:color w:val="000000"/>
                <w:sz w:val="48"/>
              </w:rPr>
            </w:pPr>
          </w:p>
          <w:p w14:paraId="392FF83A" w14:textId="429CFE88" w:rsidR="00536828" w:rsidRPr="00DE1BD4" w:rsidRDefault="00EE7CC7" w:rsidP="00EE7CC7">
            <w:pPr>
              <w:pBdr>
                <w:top w:val="nil"/>
                <w:left w:val="nil"/>
                <w:bottom w:val="nil"/>
                <w:right w:val="nil"/>
                <w:between w:val="nil"/>
              </w:pBdr>
              <w:spacing w:after="0" w:line="240" w:lineRule="auto"/>
              <w:ind w:left="329"/>
              <w:jc w:val="center"/>
              <w:rPr>
                <w:b/>
                <w:color w:val="000000"/>
                <w:sz w:val="48"/>
              </w:rPr>
            </w:pPr>
            <w:r w:rsidRPr="00DE1BD4">
              <w:rPr>
                <w:b/>
                <w:color w:val="000000"/>
                <w:sz w:val="48"/>
              </w:rPr>
              <w:t>D</w:t>
            </w:r>
            <w:r w:rsidR="00852C68" w:rsidRPr="00DE1BD4">
              <w:rPr>
                <w:b/>
                <w:color w:val="000000"/>
                <w:sz w:val="48"/>
              </w:rPr>
              <w:t xml:space="preserve">RAFT Ver </w:t>
            </w:r>
            <w:r w:rsidR="00171B25">
              <w:rPr>
                <w:b/>
                <w:color w:val="000000"/>
                <w:sz w:val="48"/>
              </w:rPr>
              <w:t>4</w:t>
            </w:r>
            <w:r w:rsidR="00852C68" w:rsidRPr="00DE1BD4">
              <w:rPr>
                <w:b/>
                <w:color w:val="000000"/>
                <w:sz w:val="48"/>
              </w:rPr>
              <w:t>.0</w:t>
            </w:r>
            <w:r w:rsidRPr="00DE1BD4">
              <w:rPr>
                <w:b/>
                <w:color w:val="000000"/>
                <w:sz w:val="48"/>
              </w:rPr>
              <w:t xml:space="preserve"> for </w:t>
            </w:r>
            <w:r w:rsidR="001B1BDA" w:rsidRPr="00DE1BD4">
              <w:rPr>
                <w:b/>
                <w:color w:val="000000"/>
                <w:sz w:val="48"/>
              </w:rPr>
              <w:t>C</w:t>
            </w:r>
            <w:r w:rsidRPr="00DE1BD4">
              <w:rPr>
                <w:b/>
                <w:color w:val="000000"/>
                <w:sz w:val="48"/>
              </w:rPr>
              <w:t>omment</w:t>
            </w:r>
          </w:p>
        </w:tc>
      </w:tr>
      <w:tr w:rsidR="00AD22EF" w:rsidRPr="00DE1BD4" w14:paraId="667C1D46" w14:textId="77777777" w:rsidTr="00E27DD9">
        <w:tc>
          <w:tcPr>
            <w:tcW w:w="9076" w:type="dxa"/>
            <w:tcBorders>
              <w:left w:val="single" w:sz="12" w:space="0" w:color="000000"/>
            </w:tcBorders>
            <w:vAlign w:val="center"/>
          </w:tcPr>
          <w:p w14:paraId="7E7CC816" w14:textId="77777777" w:rsidR="00536828" w:rsidRPr="00DE1BD4" w:rsidRDefault="00536828" w:rsidP="00600B65"/>
          <w:p w14:paraId="1414FACB" w14:textId="4E966C9B" w:rsidR="00536828" w:rsidRPr="00DE1BD4" w:rsidRDefault="00536828" w:rsidP="00600B65"/>
          <w:p w14:paraId="3398C13D" w14:textId="77777777" w:rsidR="00536828" w:rsidRDefault="00536828" w:rsidP="0087357E">
            <w:pPr>
              <w:pBdr>
                <w:top w:val="nil"/>
                <w:left w:val="nil"/>
                <w:bottom w:val="nil"/>
                <w:right w:val="nil"/>
                <w:between w:val="nil"/>
              </w:pBdr>
              <w:spacing w:after="0" w:line="240" w:lineRule="auto"/>
              <w:jc w:val="center"/>
              <w:rPr>
                <w:color w:val="000000"/>
                <w:sz w:val="32"/>
              </w:rPr>
            </w:pPr>
          </w:p>
          <w:p w14:paraId="76B171EC" w14:textId="77777777" w:rsidR="006B46E5" w:rsidRDefault="006B46E5" w:rsidP="0087357E">
            <w:pPr>
              <w:pBdr>
                <w:top w:val="nil"/>
                <w:left w:val="nil"/>
                <w:bottom w:val="nil"/>
                <w:right w:val="nil"/>
                <w:between w:val="nil"/>
              </w:pBdr>
              <w:spacing w:after="0" w:line="240" w:lineRule="auto"/>
              <w:jc w:val="center"/>
              <w:rPr>
                <w:color w:val="000000"/>
                <w:sz w:val="32"/>
              </w:rPr>
            </w:pPr>
          </w:p>
          <w:p w14:paraId="2A9A0793" w14:textId="77777777" w:rsidR="006B46E5" w:rsidRDefault="006B46E5" w:rsidP="0087357E">
            <w:pPr>
              <w:pBdr>
                <w:top w:val="nil"/>
                <w:left w:val="nil"/>
                <w:bottom w:val="nil"/>
                <w:right w:val="nil"/>
                <w:between w:val="nil"/>
              </w:pBdr>
              <w:spacing w:after="0" w:line="240" w:lineRule="auto"/>
              <w:jc w:val="center"/>
              <w:rPr>
                <w:color w:val="000000"/>
                <w:sz w:val="32"/>
              </w:rPr>
            </w:pPr>
          </w:p>
          <w:p w14:paraId="03AD6174" w14:textId="77777777" w:rsidR="006B46E5" w:rsidRDefault="006B46E5" w:rsidP="0087357E">
            <w:pPr>
              <w:pBdr>
                <w:top w:val="nil"/>
                <w:left w:val="nil"/>
                <w:bottom w:val="nil"/>
                <w:right w:val="nil"/>
                <w:between w:val="nil"/>
              </w:pBdr>
              <w:spacing w:after="0" w:line="240" w:lineRule="auto"/>
              <w:jc w:val="center"/>
              <w:rPr>
                <w:color w:val="000000"/>
                <w:sz w:val="32"/>
              </w:rPr>
            </w:pPr>
          </w:p>
          <w:p w14:paraId="3069B800" w14:textId="77777777" w:rsidR="006B46E5" w:rsidRDefault="006B46E5" w:rsidP="0087357E">
            <w:pPr>
              <w:pBdr>
                <w:top w:val="nil"/>
                <w:left w:val="nil"/>
                <w:bottom w:val="nil"/>
                <w:right w:val="nil"/>
                <w:between w:val="nil"/>
              </w:pBdr>
              <w:spacing w:after="0" w:line="240" w:lineRule="auto"/>
              <w:jc w:val="center"/>
              <w:rPr>
                <w:color w:val="000000"/>
                <w:sz w:val="32"/>
              </w:rPr>
            </w:pPr>
          </w:p>
          <w:p w14:paraId="2DCDA374" w14:textId="77777777" w:rsidR="006B46E5" w:rsidRDefault="006B46E5" w:rsidP="0087357E">
            <w:pPr>
              <w:pBdr>
                <w:top w:val="nil"/>
                <w:left w:val="nil"/>
                <w:bottom w:val="nil"/>
                <w:right w:val="nil"/>
                <w:between w:val="nil"/>
              </w:pBdr>
              <w:spacing w:after="0" w:line="240" w:lineRule="auto"/>
              <w:jc w:val="center"/>
              <w:rPr>
                <w:color w:val="000000"/>
                <w:sz w:val="32"/>
              </w:rPr>
            </w:pPr>
          </w:p>
          <w:p w14:paraId="4573EA94" w14:textId="77777777" w:rsidR="006B46E5" w:rsidRPr="00DE1BD4" w:rsidRDefault="006B46E5" w:rsidP="006B46E5">
            <w:pPr>
              <w:pBdr>
                <w:top w:val="nil"/>
                <w:left w:val="nil"/>
                <w:bottom w:val="nil"/>
                <w:right w:val="nil"/>
                <w:between w:val="nil"/>
              </w:pBdr>
              <w:spacing w:after="0" w:line="240" w:lineRule="auto"/>
              <w:rPr>
                <w:color w:val="000000"/>
                <w:sz w:val="32"/>
              </w:rPr>
            </w:pPr>
          </w:p>
          <w:p w14:paraId="7BE47751" w14:textId="77777777" w:rsidR="00536828" w:rsidRPr="00DE1BD4" w:rsidRDefault="00536828" w:rsidP="0087357E">
            <w:pPr>
              <w:pBdr>
                <w:top w:val="nil"/>
                <w:left w:val="nil"/>
                <w:bottom w:val="nil"/>
                <w:right w:val="nil"/>
                <w:between w:val="nil"/>
              </w:pBdr>
              <w:spacing w:after="0" w:line="240" w:lineRule="auto"/>
              <w:jc w:val="center"/>
              <w:rPr>
                <w:color w:val="000000"/>
                <w:sz w:val="32"/>
              </w:rPr>
            </w:pPr>
          </w:p>
          <w:p w14:paraId="41DF800A" w14:textId="67FF97F7" w:rsidR="00536828" w:rsidRPr="00DE1BD4" w:rsidRDefault="00171B25" w:rsidP="0087357E">
            <w:pPr>
              <w:pBdr>
                <w:top w:val="nil"/>
                <w:left w:val="nil"/>
                <w:bottom w:val="nil"/>
                <w:right w:val="nil"/>
                <w:between w:val="nil"/>
              </w:pBdr>
              <w:spacing w:after="0" w:line="240" w:lineRule="auto"/>
              <w:jc w:val="center"/>
              <w:rPr>
                <w:color w:val="000000"/>
                <w:sz w:val="32"/>
              </w:rPr>
            </w:pPr>
            <w:r>
              <w:rPr>
                <w:color w:val="000000"/>
                <w:sz w:val="32"/>
              </w:rPr>
              <w:t>November</w:t>
            </w:r>
            <w:r w:rsidR="00964C7D" w:rsidRPr="00DE1BD4">
              <w:rPr>
                <w:color w:val="000000"/>
                <w:sz w:val="32"/>
              </w:rPr>
              <w:t xml:space="preserve"> 202</w:t>
            </w:r>
            <w:r w:rsidR="00852C68" w:rsidRPr="00DE1BD4">
              <w:rPr>
                <w:color w:val="000000"/>
                <w:sz w:val="32"/>
              </w:rPr>
              <w:t>4</w:t>
            </w:r>
          </w:p>
          <w:p w14:paraId="43F73C75" w14:textId="77777777" w:rsidR="00B97000" w:rsidRPr="00DE1BD4" w:rsidRDefault="00B97000" w:rsidP="0087357E">
            <w:pPr>
              <w:pBdr>
                <w:top w:val="nil"/>
                <w:left w:val="nil"/>
                <w:bottom w:val="nil"/>
                <w:right w:val="nil"/>
                <w:between w:val="nil"/>
              </w:pBdr>
              <w:spacing w:after="0" w:line="240" w:lineRule="auto"/>
              <w:jc w:val="center"/>
              <w:rPr>
                <w:color w:val="000000"/>
                <w:sz w:val="32"/>
              </w:rPr>
            </w:pPr>
          </w:p>
          <w:p w14:paraId="1F142369" w14:textId="77777777" w:rsidR="00B97000" w:rsidRPr="00DE1BD4" w:rsidRDefault="00B97000" w:rsidP="0087357E">
            <w:pPr>
              <w:pBdr>
                <w:top w:val="nil"/>
                <w:left w:val="nil"/>
                <w:bottom w:val="nil"/>
                <w:right w:val="nil"/>
                <w:between w:val="nil"/>
              </w:pBdr>
              <w:spacing w:after="0" w:line="240" w:lineRule="auto"/>
              <w:jc w:val="center"/>
              <w:rPr>
                <w:color w:val="000000"/>
                <w:sz w:val="32"/>
              </w:rPr>
            </w:pPr>
          </w:p>
          <w:p w14:paraId="06C24921" w14:textId="7ED72785" w:rsidR="00B97000" w:rsidRPr="00DE1BD4" w:rsidRDefault="00B97000" w:rsidP="0087357E">
            <w:pPr>
              <w:pBdr>
                <w:top w:val="nil"/>
                <w:left w:val="nil"/>
                <w:bottom w:val="nil"/>
                <w:right w:val="nil"/>
                <w:between w:val="nil"/>
              </w:pBdr>
              <w:spacing w:after="0" w:line="240" w:lineRule="auto"/>
              <w:jc w:val="center"/>
              <w:rPr>
                <w:color w:val="000000"/>
              </w:rPr>
            </w:pPr>
          </w:p>
        </w:tc>
      </w:tr>
    </w:tbl>
    <w:p w14:paraId="427BFFAA" w14:textId="32B7F72C" w:rsidR="00536828" w:rsidRPr="00DE1BD4" w:rsidRDefault="00536828" w:rsidP="00536828">
      <w:pPr>
        <w:sectPr w:rsidR="00536828" w:rsidRPr="00DE1BD4" w:rsidSect="004561B5">
          <w:headerReference w:type="even" r:id="rId11"/>
          <w:headerReference w:type="default" r:id="rId12"/>
          <w:footerReference w:type="even" r:id="rId13"/>
          <w:footerReference w:type="default" r:id="rId14"/>
          <w:headerReference w:type="first" r:id="rId15"/>
          <w:footerReference w:type="first" r:id="rId16"/>
          <w:pgSz w:w="12240" w:h="15840"/>
          <w:pgMar w:top="1800" w:right="1440" w:bottom="1440" w:left="1440" w:header="720" w:footer="720" w:gutter="0"/>
          <w:pgNumType w:start="1"/>
          <w:cols w:space="720"/>
        </w:sectPr>
      </w:pPr>
    </w:p>
    <w:p w14:paraId="17D90FC5" w14:textId="77777777" w:rsidR="00217735" w:rsidRDefault="00852C68" w:rsidP="00536828">
      <w:pPr>
        <w:pStyle w:val="Title"/>
        <w:rPr>
          <w:sz w:val="48"/>
        </w:rPr>
      </w:pPr>
      <w:r w:rsidRPr="00DE1BD4">
        <w:rPr>
          <w:sz w:val="48"/>
        </w:rPr>
        <w:lastRenderedPageBreak/>
        <w:t>Republic</w:t>
      </w:r>
      <w:r w:rsidR="006A48F1" w:rsidRPr="00DE1BD4">
        <w:rPr>
          <w:sz w:val="48"/>
        </w:rPr>
        <w:t xml:space="preserve"> of</w:t>
      </w:r>
      <w:r w:rsidR="00217735">
        <w:rPr>
          <w:sz w:val="48"/>
        </w:rPr>
        <w:t xml:space="preserve"> The Gambia</w:t>
      </w:r>
    </w:p>
    <w:p w14:paraId="7CC350D6" w14:textId="7A2C7D8A" w:rsidR="00536828" w:rsidRPr="00DE1BD4" w:rsidRDefault="006A48F1" w:rsidP="00536828">
      <w:pPr>
        <w:pStyle w:val="Title"/>
        <w:rPr>
          <w:sz w:val="48"/>
        </w:rPr>
      </w:pPr>
      <w:r w:rsidRPr="00DE1BD4">
        <w:rPr>
          <w:sz w:val="48"/>
        </w:rPr>
        <w:br/>
      </w:r>
      <w:r w:rsidR="00536828" w:rsidRPr="00DE1BD4">
        <w:rPr>
          <w:sz w:val="48"/>
        </w:rPr>
        <w:t>National Emergency Telecommunications Plan</w:t>
      </w:r>
    </w:p>
    <w:p w14:paraId="2764E43D" w14:textId="77777777" w:rsidR="00536828" w:rsidRPr="00DE1BD4" w:rsidRDefault="00536828" w:rsidP="00536828">
      <w:pPr>
        <w:jc w:val="center"/>
        <w:rPr>
          <w:b/>
        </w:rPr>
      </w:pPr>
    </w:p>
    <w:p w14:paraId="6494C9E8" w14:textId="77777777" w:rsidR="00536828" w:rsidRPr="00DE1BD4" w:rsidRDefault="00536828" w:rsidP="00536828">
      <w:pPr>
        <w:jc w:val="center"/>
        <w:rPr>
          <w:b/>
        </w:rPr>
      </w:pPr>
    </w:p>
    <w:p w14:paraId="3B12A9A4" w14:textId="77777777" w:rsidR="00536828" w:rsidRPr="00DE1BD4" w:rsidRDefault="00536828" w:rsidP="00536828">
      <w:pPr>
        <w:jc w:val="center"/>
        <w:rPr>
          <w:b/>
        </w:rPr>
      </w:pPr>
    </w:p>
    <w:p w14:paraId="5602C2AE" w14:textId="77777777" w:rsidR="00536828" w:rsidRPr="00DE1BD4" w:rsidRDefault="00536828" w:rsidP="00536828"/>
    <w:p w14:paraId="42F37FB4" w14:textId="77777777" w:rsidR="00536828" w:rsidRPr="00DE1BD4" w:rsidRDefault="00536828" w:rsidP="00536828"/>
    <w:p w14:paraId="1276E4D9" w14:textId="484543BE" w:rsidR="00536828" w:rsidRPr="00DE1BD4" w:rsidRDefault="00F62FA2" w:rsidP="00536828">
      <w:r>
        <w:t xml:space="preserve">This draft is incomplete and based </w:t>
      </w:r>
      <w:r w:rsidR="00EC5411">
        <w:t xml:space="preserve">on publicly available information. There may be inaccuracies and inconsistencies in this information. </w:t>
      </w:r>
      <w:r w:rsidR="006B46E5">
        <w:t>Consequently,</w:t>
      </w:r>
      <w:r w:rsidR="00EC5411">
        <w:t xml:space="preserve"> this draft should be used for discussion and clarification purposes only at this stage. As new or corrected information is provided, the draft will be updated accordingly. This may lead to changes in the </w:t>
      </w:r>
      <w:r w:rsidR="006B46E5">
        <w:t>implementation actions.</w:t>
      </w:r>
    </w:p>
    <w:p w14:paraId="7636251B" w14:textId="77777777" w:rsidR="00536828" w:rsidRPr="00DE1BD4" w:rsidRDefault="00536828" w:rsidP="00536828"/>
    <w:p w14:paraId="163A7991" w14:textId="77777777" w:rsidR="00536828" w:rsidRPr="00DE1BD4" w:rsidRDefault="00536828" w:rsidP="00536828"/>
    <w:p w14:paraId="5C5673C9" w14:textId="77777777" w:rsidR="00536828" w:rsidRPr="00DE1BD4" w:rsidRDefault="00536828" w:rsidP="00536828"/>
    <w:p w14:paraId="7BA4C420" w14:textId="77777777" w:rsidR="00536828" w:rsidRPr="00DE1BD4" w:rsidRDefault="00536828" w:rsidP="00536828"/>
    <w:p w14:paraId="7B050538" w14:textId="77777777" w:rsidR="00536828" w:rsidRPr="00DE1BD4" w:rsidRDefault="00536828" w:rsidP="00536828"/>
    <w:p w14:paraId="0AA63074" w14:textId="77777777" w:rsidR="00536828" w:rsidRPr="00DE1BD4" w:rsidRDefault="00536828" w:rsidP="00536828"/>
    <w:p w14:paraId="249D9667" w14:textId="77777777" w:rsidR="00536828" w:rsidRPr="00DE1BD4" w:rsidRDefault="00536828" w:rsidP="00536828"/>
    <w:p w14:paraId="4C9FB31A" w14:textId="77777777" w:rsidR="00536828" w:rsidRPr="00DE1BD4" w:rsidRDefault="00536828" w:rsidP="00536828"/>
    <w:p w14:paraId="41039746" w14:textId="77777777" w:rsidR="00536828" w:rsidRPr="00DE1BD4" w:rsidRDefault="00536828" w:rsidP="0087357E">
      <w:pPr>
        <w:pBdr>
          <w:top w:val="nil"/>
          <w:left w:val="nil"/>
          <w:bottom w:val="nil"/>
          <w:right w:val="nil"/>
          <w:between w:val="nil"/>
        </w:pBdr>
        <w:spacing w:before="80" w:after="80"/>
        <w:jc w:val="left"/>
        <w:rPr>
          <w:color w:val="000000"/>
          <w:sz w:val="20"/>
          <w:szCs w:val="20"/>
        </w:rPr>
      </w:pPr>
    </w:p>
    <w:p w14:paraId="4A625446" w14:textId="77777777" w:rsidR="00217735" w:rsidRPr="00217735" w:rsidRDefault="00217735" w:rsidP="0087357E">
      <w:pPr>
        <w:shd w:val="clear" w:color="auto" w:fill="FFFFFF"/>
        <w:spacing w:before="280" w:after="280" w:line="240" w:lineRule="auto"/>
        <w:jc w:val="left"/>
        <w:rPr>
          <w:sz w:val="20"/>
          <w:szCs w:val="20"/>
        </w:rPr>
      </w:pPr>
      <w:r w:rsidRPr="00217735">
        <w:rPr>
          <w:sz w:val="20"/>
          <w:szCs w:val="20"/>
        </w:rPr>
        <w:t>This NETP is subject to review by the Government of the Republic of The Gambia. Comments will be included in the final version.</w:t>
      </w:r>
    </w:p>
    <w:p w14:paraId="41CF3424" w14:textId="5626C56F" w:rsidR="00536828" w:rsidRPr="00DE1BD4" w:rsidRDefault="00536828" w:rsidP="0087357E">
      <w:pPr>
        <w:shd w:val="clear" w:color="auto" w:fill="FFFFFF"/>
        <w:spacing w:before="280" w:after="280" w:line="240" w:lineRule="auto"/>
        <w:jc w:val="left"/>
        <w:rPr>
          <w:rFonts w:ascii="Times New Roman" w:hAnsi="Times New Roman"/>
          <w:sz w:val="20"/>
          <w:szCs w:val="20"/>
          <w:lang w:eastAsia="en-US"/>
        </w:rPr>
      </w:pPr>
      <w:r w:rsidRPr="00DE1BD4">
        <w:rPr>
          <w:color w:val="191919"/>
          <w:sz w:val="20"/>
          <w:szCs w:val="20"/>
        </w:rPr>
        <w:t xml:space="preserve">This report was prepared by the International Telecommunication Union (ITU) expert </w:t>
      </w:r>
      <w:r w:rsidR="001603ED" w:rsidRPr="00DE1BD4">
        <w:rPr>
          <w:color w:val="191919"/>
          <w:sz w:val="20"/>
          <w:szCs w:val="20"/>
        </w:rPr>
        <w:t>Brad Partridge.</w:t>
      </w:r>
      <w:r w:rsidRPr="00DE1BD4">
        <w:rPr>
          <w:color w:val="191919"/>
          <w:sz w:val="20"/>
          <w:szCs w:val="20"/>
        </w:rPr>
        <w:t xml:space="preserve"> </w:t>
      </w:r>
    </w:p>
    <w:p w14:paraId="18FB4D52" w14:textId="2C9473AF" w:rsidR="001603ED" w:rsidRPr="00DE1BD4" w:rsidRDefault="001603ED" w:rsidP="0087357E">
      <w:pPr>
        <w:pBdr>
          <w:top w:val="nil"/>
          <w:left w:val="nil"/>
          <w:bottom w:val="nil"/>
          <w:right w:val="nil"/>
          <w:between w:val="nil"/>
        </w:pBdr>
        <w:spacing w:before="80" w:after="80"/>
        <w:jc w:val="left"/>
        <w:rPr>
          <w:color w:val="000000"/>
          <w:sz w:val="20"/>
          <w:szCs w:val="20"/>
        </w:rPr>
      </w:pPr>
      <w:r w:rsidRPr="00DE1BD4">
        <w:rPr>
          <w:color w:val="000000"/>
          <w:sz w:val="20"/>
          <w:szCs w:val="20"/>
        </w:rPr>
        <w:t xml:space="preserve">Sydney, Australia, </w:t>
      </w:r>
      <w:r w:rsidR="00171B25">
        <w:rPr>
          <w:color w:val="000000"/>
          <w:sz w:val="20"/>
          <w:szCs w:val="20"/>
        </w:rPr>
        <w:t>November</w:t>
      </w:r>
      <w:r w:rsidR="00217735">
        <w:rPr>
          <w:color w:val="000000"/>
          <w:sz w:val="20"/>
          <w:szCs w:val="20"/>
        </w:rPr>
        <w:t xml:space="preserve"> </w:t>
      </w:r>
      <w:r w:rsidR="00CA2D39" w:rsidRPr="00DE1BD4">
        <w:rPr>
          <w:color w:val="000000"/>
          <w:sz w:val="20"/>
          <w:szCs w:val="20"/>
        </w:rPr>
        <w:t>202</w:t>
      </w:r>
      <w:r w:rsidR="00852C68" w:rsidRPr="00DE1BD4">
        <w:rPr>
          <w:color w:val="000000"/>
          <w:sz w:val="20"/>
          <w:szCs w:val="20"/>
        </w:rPr>
        <w:t>4</w:t>
      </w:r>
      <w:r w:rsidR="00536828" w:rsidRPr="00DE1BD4">
        <w:rPr>
          <w:color w:val="000000"/>
          <w:sz w:val="20"/>
          <w:szCs w:val="20"/>
        </w:rPr>
        <w:t>.</w:t>
      </w:r>
    </w:p>
    <w:p w14:paraId="2FFED5AF" w14:textId="77777777" w:rsidR="001603ED" w:rsidRPr="00DE1BD4" w:rsidRDefault="001603ED">
      <w:pPr>
        <w:jc w:val="left"/>
        <w:rPr>
          <w:color w:val="000000"/>
          <w:sz w:val="20"/>
          <w:szCs w:val="20"/>
        </w:rPr>
      </w:pPr>
      <w:r w:rsidRPr="00DE1BD4">
        <w:rPr>
          <w:color w:val="000000"/>
          <w:sz w:val="20"/>
          <w:szCs w:val="20"/>
        </w:rPr>
        <w:br w:type="page"/>
      </w:r>
    </w:p>
    <w:p w14:paraId="18D36320" w14:textId="61254F59" w:rsidR="00B25B55" w:rsidRPr="0005048C" w:rsidRDefault="00B25B55" w:rsidP="0005048C">
      <w:pPr>
        <w:jc w:val="center"/>
        <w:rPr>
          <w:b/>
          <w:bCs/>
          <w:color w:val="0070C0"/>
          <w:sz w:val="36"/>
          <w:szCs w:val="36"/>
        </w:rPr>
      </w:pPr>
      <w:r w:rsidRPr="0005048C">
        <w:rPr>
          <w:b/>
          <w:bCs/>
          <w:color w:val="0070C0"/>
          <w:sz w:val="36"/>
          <w:szCs w:val="36"/>
        </w:rPr>
        <w:t>Contents</w:t>
      </w:r>
    </w:p>
    <w:bookmarkStart w:id="0" w:name="_Toc90825935"/>
    <w:bookmarkStart w:id="1" w:name="_Toc91172586"/>
    <w:bookmarkStart w:id="2" w:name="_Toc91185472"/>
    <w:p w14:paraId="1C9219E9" w14:textId="2D3AB71C" w:rsidR="00681DEA" w:rsidRDefault="005E51AB">
      <w:pPr>
        <w:pStyle w:val="TOC1"/>
        <w:rPr>
          <w:rFonts w:asciiTheme="minorHAnsi" w:eastAsiaTheme="minorEastAsia" w:hAnsiTheme="minorHAnsi" w:cstheme="minorBidi"/>
          <w:b w:val="0"/>
          <w:bCs w:val="0"/>
          <w:i w:val="0"/>
          <w:iCs w:val="0"/>
          <w:noProof/>
          <w:kern w:val="2"/>
          <w:lang w:eastAsia="en-AU"/>
          <w14:ligatures w14:val="standardContextual"/>
        </w:rPr>
      </w:pPr>
      <w:r w:rsidRPr="00DE1BD4">
        <w:fldChar w:fldCharType="begin"/>
      </w:r>
      <w:r w:rsidRPr="00DE1BD4">
        <w:instrText xml:space="preserve"> TOC \h \z \t "Heading 1,2,Heading 2,3,Heading 3,4,No Number,1" </w:instrText>
      </w:r>
      <w:r w:rsidRPr="00DE1BD4">
        <w:fldChar w:fldCharType="separate"/>
      </w:r>
      <w:hyperlink w:anchor="_Toc181885759" w:history="1">
        <w:r w:rsidR="00681DEA" w:rsidRPr="00410CBE">
          <w:rPr>
            <w:rStyle w:val="Hyperlink"/>
            <w:noProof/>
          </w:rPr>
          <w:t>Introduction</w:t>
        </w:r>
        <w:r w:rsidR="00681DEA">
          <w:rPr>
            <w:noProof/>
            <w:webHidden/>
          </w:rPr>
          <w:tab/>
        </w:r>
        <w:r w:rsidR="00681DEA">
          <w:rPr>
            <w:noProof/>
            <w:webHidden/>
          </w:rPr>
          <w:fldChar w:fldCharType="begin"/>
        </w:r>
        <w:r w:rsidR="00681DEA">
          <w:rPr>
            <w:noProof/>
            <w:webHidden/>
          </w:rPr>
          <w:instrText xml:space="preserve"> PAGEREF _Toc181885759 \h </w:instrText>
        </w:r>
        <w:r w:rsidR="00681DEA">
          <w:rPr>
            <w:noProof/>
            <w:webHidden/>
          </w:rPr>
        </w:r>
        <w:r w:rsidR="00681DEA">
          <w:rPr>
            <w:noProof/>
            <w:webHidden/>
          </w:rPr>
          <w:fldChar w:fldCharType="separate"/>
        </w:r>
        <w:r w:rsidR="00681DEA">
          <w:rPr>
            <w:noProof/>
            <w:webHidden/>
          </w:rPr>
          <w:t>7</w:t>
        </w:r>
        <w:r w:rsidR="00681DEA">
          <w:rPr>
            <w:noProof/>
            <w:webHidden/>
          </w:rPr>
          <w:fldChar w:fldCharType="end"/>
        </w:r>
      </w:hyperlink>
    </w:p>
    <w:p w14:paraId="2BF8B598" w14:textId="68902B37"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760" w:history="1">
        <w:r w:rsidRPr="00410CBE">
          <w:rPr>
            <w:rStyle w:val="Hyperlink"/>
            <w:noProof/>
          </w:rPr>
          <w:t>Objective and Scope of the NETP</w:t>
        </w:r>
        <w:r>
          <w:rPr>
            <w:noProof/>
            <w:webHidden/>
          </w:rPr>
          <w:tab/>
        </w:r>
        <w:r>
          <w:rPr>
            <w:noProof/>
            <w:webHidden/>
          </w:rPr>
          <w:fldChar w:fldCharType="begin"/>
        </w:r>
        <w:r>
          <w:rPr>
            <w:noProof/>
            <w:webHidden/>
          </w:rPr>
          <w:instrText xml:space="preserve"> PAGEREF _Toc181885760 \h </w:instrText>
        </w:r>
        <w:r>
          <w:rPr>
            <w:noProof/>
            <w:webHidden/>
          </w:rPr>
        </w:r>
        <w:r>
          <w:rPr>
            <w:noProof/>
            <w:webHidden/>
          </w:rPr>
          <w:fldChar w:fldCharType="separate"/>
        </w:r>
        <w:r>
          <w:rPr>
            <w:noProof/>
            <w:webHidden/>
          </w:rPr>
          <w:t>7</w:t>
        </w:r>
        <w:r>
          <w:rPr>
            <w:noProof/>
            <w:webHidden/>
          </w:rPr>
          <w:fldChar w:fldCharType="end"/>
        </w:r>
      </w:hyperlink>
    </w:p>
    <w:p w14:paraId="7F5B59AA" w14:textId="1E95C4BC"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761" w:history="1">
        <w:r w:rsidRPr="00410CBE">
          <w:rPr>
            <w:rStyle w:val="Hyperlink"/>
            <w:noProof/>
          </w:rPr>
          <w:t>Structure of the NETP</w:t>
        </w:r>
        <w:r>
          <w:rPr>
            <w:noProof/>
            <w:webHidden/>
          </w:rPr>
          <w:tab/>
        </w:r>
        <w:r>
          <w:rPr>
            <w:noProof/>
            <w:webHidden/>
          </w:rPr>
          <w:fldChar w:fldCharType="begin"/>
        </w:r>
        <w:r>
          <w:rPr>
            <w:noProof/>
            <w:webHidden/>
          </w:rPr>
          <w:instrText xml:space="preserve"> PAGEREF _Toc181885761 \h </w:instrText>
        </w:r>
        <w:r>
          <w:rPr>
            <w:noProof/>
            <w:webHidden/>
          </w:rPr>
        </w:r>
        <w:r>
          <w:rPr>
            <w:noProof/>
            <w:webHidden/>
          </w:rPr>
          <w:fldChar w:fldCharType="separate"/>
        </w:r>
        <w:r>
          <w:rPr>
            <w:noProof/>
            <w:webHidden/>
          </w:rPr>
          <w:t>8</w:t>
        </w:r>
        <w:r>
          <w:rPr>
            <w:noProof/>
            <w:webHidden/>
          </w:rPr>
          <w:fldChar w:fldCharType="end"/>
        </w:r>
      </w:hyperlink>
    </w:p>
    <w:p w14:paraId="6E8BB99A" w14:textId="4E8AEA17"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762" w:history="1">
        <w:r w:rsidRPr="00410CBE">
          <w:rPr>
            <w:rStyle w:val="Hyperlink"/>
            <w:noProof/>
          </w:rPr>
          <w:t>Summary of the Implementation Actions for The Gambia</w:t>
        </w:r>
        <w:r>
          <w:rPr>
            <w:noProof/>
            <w:webHidden/>
          </w:rPr>
          <w:tab/>
        </w:r>
        <w:r>
          <w:rPr>
            <w:noProof/>
            <w:webHidden/>
          </w:rPr>
          <w:fldChar w:fldCharType="begin"/>
        </w:r>
        <w:r>
          <w:rPr>
            <w:noProof/>
            <w:webHidden/>
          </w:rPr>
          <w:instrText xml:space="preserve"> PAGEREF _Toc181885762 \h </w:instrText>
        </w:r>
        <w:r>
          <w:rPr>
            <w:noProof/>
            <w:webHidden/>
          </w:rPr>
        </w:r>
        <w:r>
          <w:rPr>
            <w:noProof/>
            <w:webHidden/>
          </w:rPr>
          <w:fldChar w:fldCharType="separate"/>
        </w:r>
        <w:r>
          <w:rPr>
            <w:noProof/>
            <w:webHidden/>
          </w:rPr>
          <w:t>9</w:t>
        </w:r>
        <w:r>
          <w:rPr>
            <w:noProof/>
            <w:webHidden/>
          </w:rPr>
          <w:fldChar w:fldCharType="end"/>
        </w:r>
      </w:hyperlink>
    </w:p>
    <w:p w14:paraId="015C4A0D" w14:textId="0E2DF245"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63" w:history="1">
        <w:r w:rsidRPr="00410CBE">
          <w:rPr>
            <w:rStyle w:val="Hyperlink"/>
            <w:noProof/>
          </w:rPr>
          <w:t>1.</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Description of the Four Phases of Disaster Management</w:t>
        </w:r>
        <w:r>
          <w:rPr>
            <w:noProof/>
            <w:webHidden/>
          </w:rPr>
          <w:tab/>
        </w:r>
        <w:r>
          <w:rPr>
            <w:noProof/>
            <w:webHidden/>
          </w:rPr>
          <w:fldChar w:fldCharType="begin"/>
        </w:r>
        <w:r>
          <w:rPr>
            <w:noProof/>
            <w:webHidden/>
          </w:rPr>
          <w:instrText xml:space="preserve"> PAGEREF _Toc181885763 \h </w:instrText>
        </w:r>
        <w:r>
          <w:rPr>
            <w:noProof/>
            <w:webHidden/>
          </w:rPr>
        </w:r>
        <w:r>
          <w:rPr>
            <w:noProof/>
            <w:webHidden/>
          </w:rPr>
          <w:fldChar w:fldCharType="separate"/>
        </w:r>
        <w:r>
          <w:rPr>
            <w:noProof/>
            <w:webHidden/>
          </w:rPr>
          <w:t>26</w:t>
        </w:r>
        <w:r>
          <w:rPr>
            <w:noProof/>
            <w:webHidden/>
          </w:rPr>
          <w:fldChar w:fldCharType="end"/>
        </w:r>
      </w:hyperlink>
    </w:p>
    <w:p w14:paraId="4C918700" w14:textId="16BD0EAE"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64" w:history="1">
        <w:r w:rsidRPr="00410CBE">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Mitigation</w:t>
        </w:r>
        <w:r>
          <w:rPr>
            <w:noProof/>
            <w:webHidden/>
          </w:rPr>
          <w:tab/>
        </w:r>
        <w:r>
          <w:rPr>
            <w:noProof/>
            <w:webHidden/>
          </w:rPr>
          <w:fldChar w:fldCharType="begin"/>
        </w:r>
        <w:r>
          <w:rPr>
            <w:noProof/>
            <w:webHidden/>
          </w:rPr>
          <w:instrText xml:space="preserve"> PAGEREF _Toc181885764 \h </w:instrText>
        </w:r>
        <w:r>
          <w:rPr>
            <w:noProof/>
            <w:webHidden/>
          </w:rPr>
        </w:r>
        <w:r>
          <w:rPr>
            <w:noProof/>
            <w:webHidden/>
          </w:rPr>
          <w:fldChar w:fldCharType="separate"/>
        </w:r>
        <w:r>
          <w:rPr>
            <w:noProof/>
            <w:webHidden/>
          </w:rPr>
          <w:t>26</w:t>
        </w:r>
        <w:r>
          <w:rPr>
            <w:noProof/>
            <w:webHidden/>
          </w:rPr>
          <w:fldChar w:fldCharType="end"/>
        </w:r>
      </w:hyperlink>
    </w:p>
    <w:p w14:paraId="05F4E046" w14:textId="7FB9E859"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65" w:history="1">
        <w:r w:rsidRPr="00410CBE">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Preparedness</w:t>
        </w:r>
        <w:r>
          <w:rPr>
            <w:noProof/>
            <w:webHidden/>
          </w:rPr>
          <w:tab/>
        </w:r>
        <w:r>
          <w:rPr>
            <w:noProof/>
            <w:webHidden/>
          </w:rPr>
          <w:fldChar w:fldCharType="begin"/>
        </w:r>
        <w:r>
          <w:rPr>
            <w:noProof/>
            <w:webHidden/>
          </w:rPr>
          <w:instrText xml:space="preserve"> PAGEREF _Toc181885765 \h </w:instrText>
        </w:r>
        <w:r>
          <w:rPr>
            <w:noProof/>
            <w:webHidden/>
          </w:rPr>
        </w:r>
        <w:r>
          <w:rPr>
            <w:noProof/>
            <w:webHidden/>
          </w:rPr>
          <w:fldChar w:fldCharType="separate"/>
        </w:r>
        <w:r>
          <w:rPr>
            <w:noProof/>
            <w:webHidden/>
          </w:rPr>
          <w:t>27</w:t>
        </w:r>
        <w:r>
          <w:rPr>
            <w:noProof/>
            <w:webHidden/>
          </w:rPr>
          <w:fldChar w:fldCharType="end"/>
        </w:r>
      </w:hyperlink>
    </w:p>
    <w:p w14:paraId="1E4C9122" w14:textId="32D6576A"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66" w:history="1">
        <w:r w:rsidRPr="00410CBE">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Response</w:t>
        </w:r>
        <w:r>
          <w:rPr>
            <w:noProof/>
            <w:webHidden/>
          </w:rPr>
          <w:tab/>
        </w:r>
        <w:r>
          <w:rPr>
            <w:noProof/>
            <w:webHidden/>
          </w:rPr>
          <w:fldChar w:fldCharType="begin"/>
        </w:r>
        <w:r>
          <w:rPr>
            <w:noProof/>
            <w:webHidden/>
          </w:rPr>
          <w:instrText xml:space="preserve"> PAGEREF _Toc181885766 \h </w:instrText>
        </w:r>
        <w:r>
          <w:rPr>
            <w:noProof/>
            <w:webHidden/>
          </w:rPr>
        </w:r>
        <w:r>
          <w:rPr>
            <w:noProof/>
            <w:webHidden/>
          </w:rPr>
          <w:fldChar w:fldCharType="separate"/>
        </w:r>
        <w:r>
          <w:rPr>
            <w:noProof/>
            <w:webHidden/>
          </w:rPr>
          <w:t>27</w:t>
        </w:r>
        <w:r>
          <w:rPr>
            <w:noProof/>
            <w:webHidden/>
          </w:rPr>
          <w:fldChar w:fldCharType="end"/>
        </w:r>
      </w:hyperlink>
    </w:p>
    <w:p w14:paraId="7A688590" w14:textId="3F19F2B0"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67" w:history="1">
        <w:r w:rsidRPr="00410CBE">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Recovery</w:t>
        </w:r>
        <w:r>
          <w:rPr>
            <w:noProof/>
            <w:webHidden/>
          </w:rPr>
          <w:tab/>
        </w:r>
        <w:r>
          <w:rPr>
            <w:noProof/>
            <w:webHidden/>
          </w:rPr>
          <w:fldChar w:fldCharType="begin"/>
        </w:r>
        <w:r>
          <w:rPr>
            <w:noProof/>
            <w:webHidden/>
          </w:rPr>
          <w:instrText xml:space="preserve"> PAGEREF _Toc181885767 \h </w:instrText>
        </w:r>
        <w:r>
          <w:rPr>
            <w:noProof/>
            <w:webHidden/>
          </w:rPr>
        </w:r>
        <w:r>
          <w:rPr>
            <w:noProof/>
            <w:webHidden/>
          </w:rPr>
          <w:fldChar w:fldCharType="separate"/>
        </w:r>
        <w:r>
          <w:rPr>
            <w:noProof/>
            <w:webHidden/>
          </w:rPr>
          <w:t>28</w:t>
        </w:r>
        <w:r>
          <w:rPr>
            <w:noProof/>
            <w:webHidden/>
          </w:rPr>
          <w:fldChar w:fldCharType="end"/>
        </w:r>
      </w:hyperlink>
    </w:p>
    <w:p w14:paraId="16D8D8B4" w14:textId="5102C5C4"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68" w:history="1">
        <w:r w:rsidRPr="00410CBE">
          <w:rPr>
            <w:rStyle w:val="Hyperlink"/>
            <w:noProof/>
          </w:rPr>
          <w:t>2.</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Early Warning for All Initiative (EW4ALL)</w:t>
        </w:r>
        <w:r>
          <w:rPr>
            <w:noProof/>
            <w:webHidden/>
          </w:rPr>
          <w:tab/>
        </w:r>
        <w:r>
          <w:rPr>
            <w:noProof/>
            <w:webHidden/>
          </w:rPr>
          <w:fldChar w:fldCharType="begin"/>
        </w:r>
        <w:r>
          <w:rPr>
            <w:noProof/>
            <w:webHidden/>
          </w:rPr>
          <w:instrText xml:space="preserve"> PAGEREF _Toc181885768 \h </w:instrText>
        </w:r>
        <w:r>
          <w:rPr>
            <w:noProof/>
            <w:webHidden/>
          </w:rPr>
        </w:r>
        <w:r>
          <w:rPr>
            <w:noProof/>
            <w:webHidden/>
          </w:rPr>
          <w:fldChar w:fldCharType="separate"/>
        </w:r>
        <w:r>
          <w:rPr>
            <w:noProof/>
            <w:webHidden/>
          </w:rPr>
          <w:t>29</w:t>
        </w:r>
        <w:r>
          <w:rPr>
            <w:noProof/>
            <w:webHidden/>
          </w:rPr>
          <w:fldChar w:fldCharType="end"/>
        </w:r>
      </w:hyperlink>
    </w:p>
    <w:p w14:paraId="17FE40BE" w14:textId="22397AAD"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69" w:history="1">
        <w:r w:rsidRPr="00410CBE">
          <w:rPr>
            <w:rStyle w:val="Hyperlink"/>
            <w:noProof/>
          </w:rPr>
          <w:t>3.</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Legislation, Policies and Plans Related to Disaster Risk Management</w:t>
        </w:r>
        <w:r>
          <w:rPr>
            <w:noProof/>
            <w:webHidden/>
          </w:rPr>
          <w:tab/>
        </w:r>
        <w:r>
          <w:rPr>
            <w:noProof/>
            <w:webHidden/>
          </w:rPr>
          <w:fldChar w:fldCharType="begin"/>
        </w:r>
        <w:r>
          <w:rPr>
            <w:noProof/>
            <w:webHidden/>
          </w:rPr>
          <w:instrText xml:space="preserve"> PAGEREF _Toc181885769 \h </w:instrText>
        </w:r>
        <w:r>
          <w:rPr>
            <w:noProof/>
            <w:webHidden/>
          </w:rPr>
        </w:r>
        <w:r>
          <w:rPr>
            <w:noProof/>
            <w:webHidden/>
          </w:rPr>
          <w:fldChar w:fldCharType="separate"/>
        </w:r>
        <w:r>
          <w:rPr>
            <w:noProof/>
            <w:webHidden/>
          </w:rPr>
          <w:t>33</w:t>
        </w:r>
        <w:r>
          <w:rPr>
            <w:noProof/>
            <w:webHidden/>
          </w:rPr>
          <w:fldChar w:fldCharType="end"/>
        </w:r>
      </w:hyperlink>
    </w:p>
    <w:p w14:paraId="10067A37" w14:textId="3F3B0ECB"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0" w:history="1">
        <w:r w:rsidRPr="00410CBE">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Disaster Management Policy 2007</w:t>
        </w:r>
        <w:r>
          <w:rPr>
            <w:noProof/>
            <w:webHidden/>
          </w:rPr>
          <w:tab/>
        </w:r>
        <w:r>
          <w:rPr>
            <w:noProof/>
            <w:webHidden/>
          </w:rPr>
          <w:fldChar w:fldCharType="begin"/>
        </w:r>
        <w:r>
          <w:rPr>
            <w:noProof/>
            <w:webHidden/>
          </w:rPr>
          <w:instrText xml:space="preserve"> PAGEREF _Toc181885770 \h </w:instrText>
        </w:r>
        <w:r>
          <w:rPr>
            <w:noProof/>
            <w:webHidden/>
          </w:rPr>
        </w:r>
        <w:r>
          <w:rPr>
            <w:noProof/>
            <w:webHidden/>
          </w:rPr>
          <w:fldChar w:fldCharType="separate"/>
        </w:r>
        <w:r>
          <w:rPr>
            <w:noProof/>
            <w:webHidden/>
          </w:rPr>
          <w:t>33</w:t>
        </w:r>
        <w:r>
          <w:rPr>
            <w:noProof/>
            <w:webHidden/>
          </w:rPr>
          <w:fldChar w:fldCharType="end"/>
        </w:r>
      </w:hyperlink>
    </w:p>
    <w:p w14:paraId="638B4481" w14:textId="76FACD44"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1" w:history="1">
        <w:r w:rsidRPr="00410CBE">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The National Disaster Management Act, 2008</w:t>
        </w:r>
        <w:r>
          <w:rPr>
            <w:noProof/>
            <w:webHidden/>
          </w:rPr>
          <w:tab/>
        </w:r>
        <w:r>
          <w:rPr>
            <w:noProof/>
            <w:webHidden/>
          </w:rPr>
          <w:fldChar w:fldCharType="begin"/>
        </w:r>
        <w:r>
          <w:rPr>
            <w:noProof/>
            <w:webHidden/>
          </w:rPr>
          <w:instrText xml:space="preserve"> PAGEREF _Toc181885771 \h </w:instrText>
        </w:r>
        <w:r>
          <w:rPr>
            <w:noProof/>
            <w:webHidden/>
          </w:rPr>
        </w:r>
        <w:r>
          <w:rPr>
            <w:noProof/>
            <w:webHidden/>
          </w:rPr>
          <w:fldChar w:fldCharType="separate"/>
        </w:r>
        <w:r>
          <w:rPr>
            <w:noProof/>
            <w:webHidden/>
          </w:rPr>
          <w:t>35</w:t>
        </w:r>
        <w:r>
          <w:rPr>
            <w:noProof/>
            <w:webHidden/>
          </w:rPr>
          <w:fldChar w:fldCharType="end"/>
        </w:r>
      </w:hyperlink>
    </w:p>
    <w:p w14:paraId="70CFEF5D" w14:textId="3876E71B"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772" w:history="1">
        <w:r w:rsidRPr="00410CBE">
          <w:rPr>
            <w:rStyle w:val="Hyperlink"/>
            <w:noProof/>
          </w:rPr>
          <w:t>3.2.1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Disaster Declaration or State of Public Emergency</w:t>
        </w:r>
        <w:r>
          <w:rPr>
            <w:noProof/>
            <w:webHidden/>
          </w:rPr>
          <w:tab/>
        </w:r>
        <w:r>
          <w:rPr>
            <w:noProof/>
            <w:webHidden/>
          </w:rPr>
          <w:fldChar w:fldCharType="begin"/>
        </w:r>
        <w:r>
          <w:rPr>
            <w:noProof/>
            <w:webHidden/>
          </w:rPr>
          <w:instrText xml:space="preserve"> PAGEREF _Toc181885772 \h </w:instrText>
        </w:r>
        <w:r>
          <w:rPr>
            <w:noProof/>
            <w:webHidden/>
          </w:rPr>
        </w:r>
        <w:r>
          <w:rPr>
            <w:noProof/>
            <w:webHidden/>
          </w:rPr>
          <w:fldChar w:fldCharType="separate"/>
        </w:r>
        <w:r>
          <w:rPr>
            <w:noProof/>
            <w:webHidden/>
          </w:rPr>
          <w:t>35</w:t>
        </w:r>
        <w:r>
          <w:rPr>
            <w:noProof/>
            <w:webHidden/>
          </w:rPr>
          <w:fldChar w:fldCharType="end"/>
        </w:r>
      </w:hyperlink>
    </w:p>
    <w:p w14:paraId="741EAF34" w14:textId="0C54EF8E"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773" w:history="1">
        <w:r w:rsidRPr="00410CBE">
          <w:rPr>
            <w:rStyle w:val="Hyperlink"/>
            <w:noProof/>
          </w:rPr>
          <w:t>3.2.2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Disaster Fund</w:t>
        </w:r>
        <w:r>
          <w:rPr>
            <w:noProof/>
            <w:webHidden/>
          </w:rPr>
          <w:tab/>
        </w:r>
        <w:r>
          <w:rPr>
            <w:noProof/>
            <w:webHidden/>
          </w:rPr>
          <w:fldChar w:fldCharType="begin"/>
        </w:r>
        <w:r>
          <w:rPr>
            <w:noProof/>
            <w:webHidden/>
          </w:rPr>
          <w:instrText xml:space="preserve"> PAGEREF _Toc181885773 \h </w:instrText>
        </w:r>
        <w:r>
          <w:rPr>
            <w:noProof/>
            <w:webHidden/>
          </w:rPr>
        </w:r>
        <w:r>
          <w:rPr>
            <w:noProof/>
            <w:webHidden/>
          </w:rPr>
          <w:fldChar w:fldCharType="separate"/>
        </w:r>
        <w:r>
          <w:rPr>
            <w:noProof/>
            <w:webHidden/>
          </w:rPr>
          <w:t>36</w:t>
        </w:r>
        <w:r>
          <w:rPr>
            <w:noProof/>
            <w:webHidden/>
          </w:rPr>
          <w:fldChar w:fldCharType="end"/>
        </w:r>
      </w:hyperlink>
    </w:p>
    <w:p w14:paraId="583457CC" w14:textId="4C9BDE1C"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4" w:history="1">
        <w:r w:rsidRPr="00410CBE">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Customs and Excise Act</w:t>
        </w:r>
        <w:r>
          <w:rPr>
            <w:noProof/>
            <w:webHidden/>
          </w:rPr>
          <w:tab/>
        </w:r>
        <w:r>
          <w:rPr>
            <w:noProof/>
            <w:webHidden/>
          </w:rPr>
          <w:fldChar w:fldCharType="begin"/>
        </w:r>
        <w:r>
          <w:rPr>
            <w:noProof/>
            <w:webHidden/>
          </w:rPr>
          <w:instrText xml:space="preserve"> PAGEREF _Toc181885774 \h </w:instrText>
        </w:r>
        <w:r>
          <w:rPr>
            <w:noProof/>
            <w:webHidden/>
          </w:rPr>
        </w:r>
        <w:r>
          <w:rPr>
            <w:noProof/>
            <w:webHidden/>
          </w:rPr>
          <w:fldChar w:fldCharType="separate"/>
        </w:r>
        <w:r>
          <w:rPr>
            <w:noProof/>
            <w:webHidden/>
          </w:rPr>
          <w:t>36</w:t>
        </w:r>
        <w:r>
          <w:rPr>
            <w:noProof/>
            <w:webHidden/>
          </w:rPr>
          <w:fldChar w:fldCharType="end"/>
        </w:r>
      </w:hyperlink>
    </w:p>
    <w:p w14:paraId="6B191B54" w14:textId="794FFC8C"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5" w:history="1">
        <w:r w:rsidRPr="00410CBE">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Climate Change Policy</w:t>
        </w:r>
        <w:r>
          <w:rPr>
            <w:noProof/>
            <w:webHidden/>
          </w:rPr>
          <w:tab/>
        </w:r>
        <w:r>
          <w:rPr>
            <w:noProof/>
            <w:webHidden/>
          </w:rPr>
          <w:fldChar w:fldCharType="begin"/>
        </w:r>
        <w:r>
          <w:rPr>
            <w:noProof/>
            <w:webHidden/>
          </w:rPr>
          <w:instrText xml:space="preserve"> PAGEREF _Toc181885775 \h </w:instrText>
        </w:r>
        <w:r>
          <w:rPr>
            <w:noProof/>
            <w:webHidden/>
          </w:rPr>
        </w:r>
        <w:r>
          <w:rPr>
            <w:noProof/>
            <w:webHidden/>
          </w:rPr>
          <w:fldChar w:fldCharType="separate"/>
        </w:r>
        <w:r>
          <w:rPr>
            <w:noProof/>
            <w:webHidden/>
          </w:rPr>
          <w:t>36</w:t>
        </w:r>
        <w:r>
          <w:rPr>
            <w:noProof/>
            <w:webHidden/>
          </w:rPr>
          <w:fldChar w:fldCharType="end"/>
        </w:r>
      </w:hyperlink>
    </w:p>
    <w:p w14:paraId="3D3A46C6" w14:textId="3B8000F1"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76" w:history="1">
        <w:r w:rsidRPr="00410CBE">
          <w:rPr>
            <w:rStyle w:val="Hyperlink"/>
            <w:noProof/>
          </w:rPr>
          <w:t>4.</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Plans, Policies and Programs Related to Disaster Management</w:t>
        </w:r>
        <w:r>
          <w:rPr>
            <w:noProof/>
            <w:webHidden/>
          </w:rPr>
          <w:tab/>
        </w:r>
        <w:r>
          <w:rPr>
            <w:noProof/>
            <w:webHidden/>
          </w:rPr>
          <w:fldChar w:fldCharType="begin"/>
        </w:r>
        <w:r>
          <w:rPr>
            <w:noProof/>
            <w:webHidden/>
          </w:rPr>
          <w:instrText xml:space="preserve"> PAGEREF _Toc181885776 \h </w:instrText>
        </w:r>
        <w:r>
          <w:rPr>
            <w:noProof/>
            <w:webHidden/>
          </w:rPr>
        </w:r>
        <w:r>
          <w:rPr>
            <w:noProof/>
            <w:webHidden/>
          </w:rPr>
          <w:fldChar w:fldCharType="separate"/>
        </w:r>
        <w:r>
          <w:rPr>
            <w:noProof/>
            <w:webHidden/>
          </w:rPr>
          <w:t>38</w:t>
        </w:r>
        <w:r>
          <w:rPr>
            <w:noProof/>
            <w:webHidden/>
          </w:rPr>
          <w:fldChar w:fldCharType="end"/>
        </w:r>
      </w:hyperlink>
    </w:p>
    <w:p w14:paraId="7FB9EB13" w14:textId="7F2DD3EB"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7" w:history="1">
        <w:r w:rsidRPr="00410CBE">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Recovery Focused National Development Plan 2023-2027</w:t>
        </w:r>
        <w:r>
          <w:rPr>
            <w:noProof/>
            <w:webHidden/>
          </w:rPr>
          <w:tab/>
        </w:r>
        <w:r>
          <w:rPr>
            <w:noProof/>
            <w:webHidden/>
          </w:rPr>
          <w:fldChar w:fldCharType="begin"/>
        </w:r>
        <w:r>
          <w:rPr>
            <w:noProof/>
            <w:webHidden/>
          </w:rPr>
          <w:instrText xml:space="preserve"> PAGEREF _Toc181885777 \h </w:instrText>
        </w:r>
        <w:r>
          <w:rPr>
            <w:noProof/>
            <w:webHidden/>
          </w:rPr>
        </w:r>
        <w:r>
          <w:rPr>
            <w:noProof/>
            <w:webHidden/>
          </w:rPr>
          <w:fldChar w:fldCharType="separate"/>
        </w:r>
        <w:r>
          <w:rPr>
            <w:noProof/>
            <w:webHidden/>
          </w:rPr>
          <w:t>38</w:t>
        </w:r>
        <w:r>
          <w:rPr>
            <w:noProof/>
            <w:webHidden/>
          </w:rPr>
          <w:fldChar w:fldCharType="end"/>
        </w:r>
      </w:hyperlink>
    </w:p>
    <w:p w14:paraId="1A7C2D3E" w14:textId="51880DA7"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8" w:history="1">
        <w:r w:rsidRPr="00410CBE">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The Gambia 2050 Climate Vision</w:t>
        </w:r>
        <w:r>
          <w:rPr>
            <w:noProof/>
            <w:webHidden/>
          </w:rPr>
          <w:tab/>
        </w:r>
        <w:r>
          <w:rPr>
            <w:noProof/>
            <w:webHidden/>
          </w:rPr>
          <w:fldChar w:fldCharType="begin"/>
        </w:r>
        <w:r>
          <w:rPr>
            <w:noProof/>
            <w:webHidden/>
          </w:rPr>
          <w:instrText xml:space="preserve"> PAGEREF _Toc181885778 \h </w:instrText>
        </w:r>
        <w:r>
          <w:rPr>
            <w:noProof/>
            <w:webHidden/>
          </w:rPr>
        </w:r>
        <w:r>
          <w:rPr>
            <w:noProof/>
            <w:webHidden/>
          </w:rPr>
          <w:fldChar w:fldCharType="separate"/>
        </w:r>
        <w:r>
          <w:rPr>
            <w:noProof/>
            <w:webHidden/>
          </w:rPr>
          <w:t>39</w:t>
        </w:r>
        <w:r>
          <w:rPr>
            <w:noProof/>
            <w:webHidden/>
          </w:rPr>
          <w:fldChar w:fldCharType="end"/>
        </w:r>
      </w:hyperlink>
    </w:p>
    <w:p w14:paraId="28E06862" w14:textId="7DC9436B"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79" w:history="1">
        <w:r w:rsidRPr="00410CBE">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Broadband Policy 2020-2024</w:t>
        </w:r>
        <w:r>
          <w:rPr>
            <w:noProof/>
            <w:webHidden/>
          </w:rPr>
          <w:tab/>
        </w:r>
        <w:r>
          <w:rPr>
            <w:noProof/>
            <w:webHidden/>
          </w:rPr>
          <w:fldChar w:fldCharType="begin"/>
        </w:r>
        <w:r>
          <w:rPr>
            <w:noProof/>
            <w:webHidden/>
          </w:rPr>
          <w:instrText xml:space="preserve"> PAGEREF _Toc181885779 \h </w:instrText>
        </w:r>
        <w:r>
          <w:rPr>
            <w:noProof/>
            <w:webHidden/>
          </w:rPr>
        </w:r>
        <w:r>
          <w:rPr>
            <w:noProof/>
            <w:webHidden/>
          </w:rPr>
          <w:fldChar w:fldCharType="separate"/>
        </w:r>
        <w:r>
          <w:rPr>
            <w:noProof/>
            <w:webHidden/>
          </w:rPr>
          <w:t>39</w:t>
        </w:r>
        <w:r>
          <w:rPr>
            <w:noProof/>
            <w:webHidden/>
          </w:rPr>
          <w:fldChar w:fldCharType="end"/>
        </w:r>
      </w:hyperlink>
    </w:p>
    <w:p w14:paraId="44114EAB" w14:textId="6ED120D2"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80" w:history="1">
        <w:r w:rsidRPr="00410CBE">
          <w:rPr>
            <w:rStyle w:val="Hyperlink"/>
            <w:noProof/>
          </w:rPr>
          <w:t>5.</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Agencies Involved in Disaster Risk Management</w:t>
        </w:r>
        <w:r>
          <w:rPr>
            <w:noProof/>
            <w:webHidden/>
          </w:rPr>
          <w:tab/>
        </w:r>
        <w:r>
          <w:rPr>
            <w:noProof/>
            <w:webHidden/>
          </w:rPr>
          <w:fldChar w:fldCharType="begin"/>
        </w:r>
        <w:r>
          <w:rPr>
            <w:noProof/>
            <w:webHidden/>
          </w:rPr>
          <w:instrText xml:space="preserve"> PAGEREF _Toc181885780 \h </w:instrText>
        </w:r>
        <w:r>
          <w:rPr>
            <w:noProof/>
            <w:webHidden/>
          </w:rPr>
        </w:r>
        <w:r>
          <w:rPr>
            <w:noProof/>
            <w:webHidden/>
          </w:rPr>
          <w:fldChar w:fldCharType="separate"/>
        </w:r>
        <w:r>
          <w:rPr>
            <w:noProof/>
            <w:webHidden/>
          </w:rPr>
          <w:t>41</w:t>
        </w:r>
        <w:r>
          <w:rPr>
            <w:noProof/>
            <w:webHidden/>
          </w:rPr>
          <w:fldChar w:fldCharType="end"/>
        </w:r>
      </w:hyperlink>
    </w:p>
    <w:p w14:paraId="6703D281" w14:textId="4FA87825"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1" w:history="1">
        <w:r w:rsidRPr="00410CBE">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Disaster Management Council</w:t>
        </w:r>
        <w:r>
          <w:rPr>
            <w:noProof/>
            <w:webHidden/>
          </w:rPr>
          <w:tab/>
        </w:r>
        <w:r>
          <w:rPr>
            <w:noProof/>
            <w:webHidden/>
          </w:rPr>
          <w:fldChar w:fldCharType="begin"/>
        </w:r>
        <w:r>
          <w:rPr>
            <w:noProof/>
            <w:webHidden/>
          </w:rPr>
          <w:instrText xml:space="preserve"> PAGEREF _Toc181885781 \h </w:instrText>
        </w:r>
        <w:r>
          <w:rPr>
            <w:noProof/>
            <w:webHidden/>
          </w:rPr>
        </w:r>
        <w:r>
          <w:rPr>
            <w:noProof/>
            <w:webHidden/>
          </w:rPr>
          <w:fldChar w:fldCharType="separate"/>
        </w:r>
        <w:r>
          <w:rPr>
            <w:noProof/>
            <w:webHidden/>
          </w:rPr>
          <w:t>41</w:t>
        </w:r>
        <w:r>
          <w:rPr>
            <w:noProof/>
            <w:webHidden/>
          </w:rPr>
          <w:fldChar w:fldCharType="end"/>
        </w:r>
      </w:hyperlink>
    </w:p>
    <w:p w14:paraId="18AF9DA5" w14:textId="6A4CA9B6"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2" w:history="1">
        <w:r w:rsidRPr="00410CBE">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Disaster Management Agency</w:t>
        </w:r>
        <w:r>
          <w:rPr>
            <w:noProof/>
            <w:webHidden/>
          </w:rPr>
          <w:tab/>
        </w:r>
        <w:r>
          <w:rPr>
            <w:noProof/>
            <w:webHidden/>
          </w:rPr>
          <w:fldChar w:fldCharType="begin"/>
        </w:r>
        <w:r>
          <w:rPr>
            <w:noProof/>
            <w:webHidden/>
          </w:rPr>
          <w:instrText xml:space="preserve"> PAGEREF _Toc181885782 \h </w:instrText>
        </w:r>
        <w:r>
          <w:rPr>
            <w:noProof/>
            <w:webHidden/>
          </w:rPr>
        </w:r>
        <w:r>
          <w:rPr>
            <w:noProof/>
            <w:webHidden/>
          </w:rPr>
          <w:fldChar w:fldCharType="separate"/>
        </w:r>
        <w:r>
          <w:rPr>
            <w:noProof/>
            <w:webHidden/>
          </w:rPr>
          <w:t>42</w:t>
        </w:r>
        <w:r>
          <w:rPr>
            <w:noProof/>
            <w:webHidden/>
          </w:rPr>
          <w:fldChar w:fldCharType="end"/>
        </w:r>
      </w:hyperlink>
    </w:p>
    <w:p w14:paraId="243F834F" w14:textId="77BBB9C2"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3" w:history="1">
        <w:r w:rsidRPr="00410CBE">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Public Utilities Regulatory Authority</w:t>
        </w:r>
        <w:r>
          <w:rPr>
            <w:noProof/>
            <w:webHidden/>
          </w:rPr>
          <w:tab/>
        </w:r>
        <w:r>
          <w:rPr>
            <w:noProof/>
            <w:webHidden/>
          </w:rPr>
          <w:fldChar w:fldCharType="begin"/>
        </w:r>
        <w:r>
          <w:rPr>
            <w:noProof/>
            <w:webHidden/>
          </w:rPr>
          <w:instrText xml:space="preserve"> PAGEREF _Toc181885783 \h </w:instrText>
        </w:r>
        <w:r>
          <w:rPr>
            <w:noProof/>
            <w:webHidden/>
          </w:rPr>
        </w:r>
        <w:r>
          <w:rPr>
            <w:noProof/>
            <w:webHidden/>
          </w:rPr>
          <w:fldChar w:fldCharType="separate"/>
        </w:r>
        <w:r>
          <w:rPr>
            <w:noProof/>
            <w:webHidden/>
          </w:rPr>
          <w:t>42</w:t>
        </w:r>
        <w:r>
          <w:rPr>
            <w:noProof/>
            <w:webHidden/>
          </w:rPr>
          <w:fldChar w:fldCharType="end"/>
        </w:r>
      </w:hyperlink>
    </w:p>
    <w:p w14:paraId="339D224D" w14:textId="29D102F5"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4" w:history="1">
        <w:r w:rsidRPr="00410CBE">
          <w:rPr>
            <w:rStyle w:val="Hyperlink"/>
            <w:noProof/>
          </w:rPr>
          <w:t>5.4</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Ministry of Communications and Digital Economy</w:t>
        </w:r>
        <w:r>
          <w:rPr>
            <w:noProof/>
            <w:webHidden/>
          </w:rPr>
          <w:tab/>
        </w:r>
        <w:r>
          <w:rPr>
            <w:noProof/>
            <w:webHidden/>
          </w:rPr>
          <w:fldChar w:fldCharType="begin"/>
        </w:r>
        <w:r>
          <w:rPr>
            <w:noProof/>
            <w:webHidden/>
          </w:rPr>
          <w:instrText xml:space="preserve"> PAGEREF _Toc181885784 \h </w:instrText>
        </w:r>
        <w:r>
          <w:rPr>
            <w:noProof/>
            <w:webHidden/>
          </w:rPr>
        </w:r>
        <w:r>
          <w:rPr>
            <w:noProof/>
            <w:webHidden/>
          </w:rPr>
          <w:fldChar w:fldCharType="separate"/>
        </w:r>
        <w:r>
          <w:rPr>
            <w:noProof/>
            <w:webHidden/>
          </w:rPr>
          <w:t>43</w:t>
        </w:r>
        <w:r>
          <w:rPr>
            <w:noProof/>
            <w:webHidden/>
          </w:rPr>
          <w:fldChar w:fldCharType="end"/>
        </w:r>
      </w:hyperlink>
    </w:p>
    <w:p w14:paraId="2E39AB15" w14:textId="3271F5EA"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5" w:history="1">
        <w:r w:rsidRPr="00410CBE">
          <w:rPr>
            <w:rStyle w:val="Hyperlink"/>
            <w:noProof/>
          </w:rPr>
          <w:t>5.5</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Gambia ICT Agency</w:t>
        </w:r>
        <w:r>
          <w:rPr>
            <w:noProof/>
            <w:webHidden/>
          </w:rPr>
          <w:tab/>
        </w:r>
        <w:r>
          <w:rPr>
            <w:noProof/>
            <w:webHidden/>
          </w:rPr>
          <w:fldChar w:fldCharType="begin"/>
        </w:r>
        <w:r>
          <w:rPr>
            <w:noProof/>
            <w:webHidden/>
          </w:rPr>
          <w:instrText xml:space="preserve"> PAGEREF _Toc181885785 \h </w:instrText>
        </w:r>
        <w:r>
          <w:rPr>
            <w:noProof/>
            <w:webHidden/>
          </w:rPr>
        </w:r>
        <w:r>
          <w:rPr>
            <w:noProof/>
            <w:webHidden/>
          </w:rPr>
          <w:fldChar w:fldCharType="separate"/>
        </w:r>
        <w:r>
          <w:rPr>
            <w:noProof/>
            <w:webHidden/>
          </w:rPr>
          <w:t>43</w:t>
        </w:r>
        <w:r>
          <w:rPr>
            <w:noProof/>
            <w:webHidden/>
          </w:rPr>
          <w:fldChar w:fldCharType="end"/>
        </w:r>
      </w:hyperlink>
    </w:p>
    <w:p w14:paraId="75650690" w14:textId="0CC0193E"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6" w:history="1">
        <w:r w:rsidRPr="00410CBE">
          <w:rPr>
            <w:rStyle w:val="Hyperlink"/>
            <w:noProof/>
          </w:rPr>
          <w:t>5.6</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The Gambia Meteorological Division</w:t>
        </w:r>
        <w:r>
          <w:rPr>
            <w:noProof/>
            <w:webHidden/>
          </w:rPr>
          <w:tab/>
        </w:r>
        <w:r>
          <w:rPr>
            <w:noProof/>
            <w:webHidden/>
          </w:rPr>
          <w:fldChar w:fldCharType="begin"/>
        </w:r>
        <w:r>
          <w:rPr>
            <w:noProof/>
            <w:webHidden/>
          </w:rPr>
          <w:instrText xml:space="preserve"> PAGEREF _Toc181885786 \h </w:instrText>
        </w:r>
        <w:r>
          <w:rPr>
            <w:noProof/>
            <w:webHidden/>
          </w:rPr>
        </w:r>
        <w:r>
          <w:rPr>
            <w:noProof/>
            <w:webHidden/>
          </w:rPr>
          <w:fldChar w:fldCharType="separate"/>
        </w:r>
        <w:r>
          <w:rPr>
            <w:noProof/>
            <w:webHidden/>
          </w:rPr>
          <w:t>44</w:t>
        </w:r>
        <w:r>
          <w:rPr>
            <w:noProof/>
            <w:webHidden/>
          </w:rPr>
          <w:fldChar w:fldCharType="end"/>
        </w:r>
      </w:hyperlink>
    </w:p>
    <w:p w14:paraId="3FB9BC85" w14:textId="257A4CD4"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7" w:history="1">
        <w:r w:rsidRPr="00410CBE">
          <w:rPr>
            <w:rStyle w:val="Hyperlink"/>
            <w:noProof/>
          </w:rPr>
          <w:t>5.7</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Sectors</w:t>
        </w:r>
        <w:r>
          <w:rPr>
            <w:noProof/>
            <w:webHidden/>
          </w:rPr>
          <w:tab/>
        </w:r>
        <w:r>
          <w:rPr>
            <w:noProof/>
            <w:webHidden/>
          </w:rPr>
          <w:fldChar w:fldCharType="begin"/>
        </w:r>
        <w:r>
          <w:rPr>
            <w:noProof/>
            <w:webHidden/>
          </w:rPr>
          <w:instrText xml:space="preserve"> PAGEREF _Toc181885787 \h </w:instrText>
        </w:r>
        <w:r>
          <w:rPr>
            <w:noProof/>
            <w:webHidden/>
          </w:rPr>
        </w:r>
        <w:r>
          <w:rPr>
            <w:noProof/>
            <w:webHidden/>
          </w:rPr>
          <w:fldChar w:fldCharType="separate"/>
        </w:r>
        <w:r>
          <w:rPr>
            <w:noProof/>
            <w:webHidden/>
          </w:rPr>
          <w:t>44</w:t>
        </w:r>
        <w:r>
          <w:rPr>
            <w:noProof/>
            <w:webHidden/>
          </w:rPr>
          <w:fldChar w:fldCharType="end"/>
        </w:r>
      </w:hyperlink>
    </w:p>
    <w:p w14:paraId="53821E0C" w14:textId="68897D87"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8" w:history="1">
        <w:r w:rsidRPr="00410CBE">
          <w:rPr>
            <w:rStyle w:val="Hyperlink"/>
            <w:noProof/>
          </w:rPr>
          <w:t>5.8</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National Emergency Telecommunication Cluster</w:t>
        </w:r>
        <w:r>
          <w:rPr>
            <w:noProof/>
            <w:webHidden/>
          </w:rPr>
          <w:tab/>
        </w:r>
        <w:r>
          <w:rPr>
            <w:noProof/>
            <w:webHidden/>
          </w:rPr>
          <w:fldChar w:fldCharType="begin"/>
        </w:r>
        <w:r>
          <w:rPr>
            <w:noProof/>
            <w:webHidden/>
          </w:rPr>
          <w:instrText xml:space="preserve"> PAGEREF _Toc181885788 \h </w:instrText>
        </w:r>
        <w:r>
          <w:rPr>
            <w:noProof/>
            <w:webHidden/>
          </w:rPr>
        </w:r>
        <w:r>
          <w:rPr>
            <w:noProof/>
            <w:webHidden/>
          </w:rPr>
          <w:fldChar w:fldCharType="separate"/>
        </w:r>
        <w:r>
          <w:rPr>
            <w:noProof/>
            <w:webHidden/>
          </w:rPr>
          <w:t>44</w:t>
        </w:r>
        <w:r>
          <w:rPr>
            <w:noProof/>
            <w:webHidden/>
          </w:rPr>
          <w:fldChar w:fldCharType="end"/>
        </w:r>
      </w:hyperlink>
    </w:p>
    <w:p w14:paraId="41C78322" w14:textId="6079F32E"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89" w:history="1">
        <w:r w:rsidRPr="00410CBE">
          <w:rPr>
            <w:rStyle w:val="Hyperlink"/>
            <w:noProof/>
          </w:rPr>
          <w:t>5.9</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World Food Program (WFP) – Emergency Telecommunications Cluster (ETC)</w:t>
        </w:r>
        <w:r>
          <w:rPr>
            <w:noProof/>
            <w:webHidden/>
          </w:rPr>
          <w:tab/>
        </w:r>
        <w:r>
          <w:rPr>
            <w:noProof/>
            <w:webHidden/>
          </w:rPr>
          <w:fldChar w:fldCharType="begin"/>
        </w:r>
        <w:r>
          <w:rPr>
            <w:noProof/>
            <w:webHidden/>
          </w:rPr>
          <w:instrText xml:space="preserve"> PAGEREF _Toc181885789 \h </w:instrText>
        </w:r>
        <w:r>
          <w:rPr>
            <w:noProof/>
            <w:webHidden/>
          </w:rPr>
        </w:r>
        <w:r>
          <w:rPr>
            <w:noProof/>
            <w:webHidden/>
          </w:rPr>
          <w:fldChar w:fldCharType="separate"/>
        </w:r>
        <w:r>
          <w:rPr>
            <w:noProof/>
            <w:webHidden/>
          </w:rPr>
          <w:t>45</w:t>
        </w:r>
        <w:r>
          <w:rPr>
            <w:noProof/>
            <w:webHidden/>
          </w:rPr>
          <w:fldChar w:fldCharType="end"/>
        </w:r>
      </w:hyperlink>
    </w:p>
    <w:p w14:paraId="1DFE81DA" w14:textId="71C38510"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90" w:history="1">
        <w:r w:rsidRPr="00410CBE">
          <w:rPr>
            <w:rStyle w:val="Hyperlink"/>
            <w:noProof/>
          </w:rPr>
          <w:t>6.</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Specific Telecom/ICT Regulatory Provisions</w:t>
        </w:r>
        <w:r>
          <w:rPr>
            <w:noProof/>
            <w:webHidden/>
          </w:rPr>
          <w:tab/>
        </w:r>
        <w:r>
          <w:rPr>
            <w:noProof/>
            <w:webHidden/>
          </w:rPr>
          <w:fldChar w:fldCharType="begin"/>
        </w:r>
        <w:r>
          <w:rPr>
            <w:noProof/>
            <w:webHidden/>
          </w:rPr>
          <w:instrText xml:space="preserve"> PAGEREF _Toc181885790 \h </w:instrText>
        </w:r>
        <w:r>
          <w:rPr>
            <w:noProof/>
            <w:webHidden/>
          </w:rPr>
        </w:r>
        <w:r>
          <w:rPr>
            <w:noProof/>
            <w:webHidden/>
          </w:rPr>
          <w:fldChar w:fldCharType="separate"/>
        </w:r>
        <w:r>
          <w:rPr>
            <w:noProof/>
            <w:webHidden/>
          </w:rPr>
          <w:t>47</w:t>
        </w:r>
        <w:r>
          <w:rPr>
            <w:noProof/>
            <w:webHidden/>
          </w:rPr>
          <w:fldChar w:fldCharType="end"/>
        </w:r>
      </w:hyperlink>
    </w:p>
    <w:p w14:paraId="47C83B25" w14:textId="00F48756"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791" w:history="1">
        <w:r w:rsidRPr="00410CBE">
          <w:rPr>
            <w:rStyle w:val="Hyperlink"/>
            <w:noProof/>
          </w:rPr>
          <w:t>Mitigation Phase</w:t>
        </w:r>
        <w:r>
          <w:rPr>
            <w:noProof/>
            <w:webHidden/>
          </w:rPr>
          <w:tab/>
        </w:r>
        <w:r>
          <w:rPr>
            <w:noProof/>
            <w:webHidden/>
          </w:rPr>
          <w:fldChar w:fldCharType="begin"/>
        </w:r>
        <w:r>
          <w:rPr>
            <w:noProof/>
            <w:webHidden/>
          </w:rPr>
          <w:instrText xml:space="preserve"> PAGEREF _Toc181885791 \h </w:instrText>
        </w:r>
        <w:r>
          <w:rPr>
            <w:noProof/>
            <w:webHidden/>
          </w:rPr>
        </w:r>
        <w:r>
          <w:rPr>
            <w:noProof/>
            <w:webHidden/>
          </w:rPr>
          <w:fldChar w:fldCharType="separate"/>
        </w:r>
        <w:r>
          <w:rPr>
            <w:noProof/>
            <w:webHidden/>
          </w:rPr>
          <w:t>50</w:t>
        </w:r>
        <w:r>
          <w:rPr>
            <w:noProof/>
            <w:webHidden/>
          </w:rPr>
          <w:fldChar w:fldCharType="end"/>
        </w:r>
      </w:hyperlink>
    </w:p>
    <w:p w14:paraId="6791E80F" w14:textId="5F5B127C"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92" w:history="1">
        <w:r w:rsidRPr="00410CBE">
          <w:rPr>
            <w:rStyle w:val="Hyperlink"/>
            <w:noProof/>
          </w:rPr>
          <w:t>7.</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Vulnerability to Disasters from Natural Hazards in The Gambia</w:t>
        </w:r>
        <w:r>
          <w:rPr>
            <w:noProof/>
            <w:webHidden/>
          </w:rPr>
          <w:tab/>
        </w:r>
        <w:r>
          <w:rPr>
            <w:noProof/>
            <w:webHidden/>
          </w:rPr>
          <w:fldChar w:fldCharType="begin"/>
        </w:r>
        <w:r>
          <w:rPr>
            <w:noProof/>
            <w:webHidden/>
          </w:rPr>
          <w:instrText xml:space="preserve"> PAGEREF _Toc181885792 \h </w:instrText>
        </w:r>
        <w:r>
          <w:rPr>
            <w:noProof/>
            <w:webHidden/>
          </w:rPr>
        </w:r>
        <w:r>
          <w:rPr>
            <w:noProof/>
            <w:webHidden/>
          </w:rPr>
          <w:fldChar w:fldCharType="separate"/>
        </w:r>
        <w:r>
          <w:rPr>
            <w:noProof/>
            <w:webHidden/>
          </w:rPr>
          <w:t>50</w:t>
        </w:r>
        <w:r>
          <w:rPr>
            <w:noProof/>
            <w:webHidden/>
          </w:rPr>
          <w:fldChar w:fldCharType="end"/>
        </w:r>
      </w:hyperlink>
    </w:p>
    <w:p w14:paraId="63807DAF" w14:textId="6EDDB220"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93" w:history="1">
        <w:r w:rsidRPr="00410CBE">
          <w:rPr>
            <w:rStyle w:val="Hyperlink"/>
            <w:noProof/>
          </w:rPr>
          <w:t>7.1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Overview</w:t>
        </w:r>
        <w:r>
          <w:rPr>
            <w:noProof/>
            <w:webHidden/>
          </w:rPr>
          <w:tab/>
        </w:r>
        <w:r>
          <w:rPr>
            <w:noProof/>
            <w:webHidden/>
          </w:rPr>
          <w:fldChar w:fldCharType="begin"/>
        </w:r>
        <w:r>
          <w:rPr>
            <w:noProof/>
            <w:webHidden/>
          </w:rPr>
          <w:instrText xml:space="preserve"> PAGEREF _Toc181885793 \h </w:instrText>
        </w:r>
        <w:r>
          <w:rPr>
            <w:noProof/>
            <w:webHidden/>
          </w:rPr>
        </w:r>
        <w:r>
          <w:rPr>
            <w:noProof/>
            <w:webHidden/>
          </w:rPr>
          <w:fldChar w:fldCharType="separate"/>
        </w:r>
        <w:r>
          <w:rPr>
            <w:noProof/>
            <w:webHidden/>
          </w:rPr>
          <w:t>50</w:t>
        </w:r>
        <w:r>
          <w:rPr>
            <w:noProof/>
            <w:webHidden/>
          </w:rPr>
          <w:fldChar w:fldCharType="end"/>
        </w:r>
      </w:hyperlink>
    </w:p>
    <w:p w14:paraId="5362948A" w14:textId="11007B3A"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794" w:history="1">
        <w:r w:rsidRPr="00410CBE">
          <w:rPr>
            <w:rStyle w:val="Hyperlink"/>
            <w:noProof/>
          </w:rPr>
          <w:t>7.1.1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Flood</w:t>
        </w:r>
        <w:r>
          <w:rPr>
            <w:noProof/>
            <w:webHidden/>
          </w:rPr>
          <w:tab/>
        </w:r>
        <w:r>
          <w:rPr>
            <w:noProof/>
            <w:webHidden/>
          </w:rPr>
          <w:fldChar w:fldCharType="begin"/>
        </w:r>
        <w:r>
          <w:rPr>
            <w:noProof/>
            <w:webHidden/>
          </w:rPr>
          <w:instrText xml:space="preserve"> PAGEREF _Toc181885794 \h </w:instrText>
        </w:r>
        <w:r>
          <w:rPr>
            <w:noProof/>
            <w:webHidden/>
          </w:rPr>
        </w:r>
        <w:r>
          <w:rPr>
            <w:noProof/>
            <w:webHidden/>
          </w:rPr>
          <w:fldChar w:fldCharType="separate"/>
        </w:r>
        <w:r>
          <w:rPr>
            <w:noProof/>
            <w:webHidden/>
          </w:rPr>
          <w:t>51</w:t>
        </w:r>
        <w:r>
          <w:rPr>
            <w:noProof/>
            <w:webHidden/>
          </w:rPr>
          <w:fldChar w:fldCharType="end"/>
        </w:r>
      </w:hyperlink>
    </w:p>
    <w:p w14:paraId="07E9568A" w14:textId="1C0317EC"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795" w:history="1">
        <w:r w:rsidRPr="00410CBE">
          <w:rPr>
            <w:rStyle w:val="Hyperlink"/>
            <w:noProof/>
          </w:rPr>
          <w:t>7.1.2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Drought</w:t>
        </w:r>
        <w:r>
          <w:rPr>
            <w:noProof/>
            <w:webHidden/>
          </w:rPr>
          <w:tab/>
        </w:r>
        <w:r>
          <w:rPr>
            <w:noProof/>
            <w:webHidden/>
          </w:rPr>
          <w:fldChar w:fldCharType="begin"/>
        </w:r>
        <w:r>
          <w:rPr>
            <w:noProof/>
            <w:webHidden/>
          </w:rPr>
          <w:instrText xml:space="preserve"> PAGEREF _Toc181885795 \h </w:instrText>
        </w:r>
        <w:r>
          <w:rPr>
            <w:noProof/>
            <w:webHidden/>
          </w:rPr>
        </w:r>
        <w:r>
          <w:rPr>
            <w:noProof/>
            <w:webHidden/>
          </w:rPr>
          <w:fldChar w:fldCharType="separate"/>
        </w:r>
        <w:r>
          <w:rPr>
            <w:noProof/>
            <w:webHidden/>
          </w:rPr>
          <w:t>51</w:t>
        </w:r>
        <w:r>
          <w:rPr>
            <w:noProof/>
            <w:webHidden/>
          </w:rPr>
          <w:fldChar w:fldCharType="end"/>
        </w:r>
      </w:hyperlink>
    </w:p>
    <w:p w14:paraId="1DA9AEE5" w14:textId="26C63ADB"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96" w:history="1">
        <w:r w:rsidRPr="00410CBE">
          <w:rPr>
            <w:rStyle w:val="Hyperlink"/>
            <w:noProof/>
          </w:rPr>
          <w:t>7.2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Vulnerability Maps</w:t>
        </w:r>
        <w:r>
          <w:rPr>
            <w:noProof/>
            <w:webHidden/>
          </w:rPr>
          <w:tab/>
        </w:r>
        <w:r>
          <w:rPr>
            <w:noProof/>
            <w:webHidden/>
          </w:rPr>
          <w:fldChar w:fldCharType="begin"/>
        </w:r>
        <w:r>
          <w:rPr>
            <w:noProof/>
            <w:webHidden/>
          </w:rPr>
          <w:instrText xml:space="preserve"> PAGEREF _Toc181885796 \h </w:instrText>
        </w:r>
        <w:r>
          <w:rPr>
            <w:noProof/>
            <w:webHidden/>
          </w:rPr>
        </w:r>
        <w:r>
          <w:rPr>
            <w:noProof/>
            <w:webHidden/>
          </w:rPr>
          <w:fldChar w:fldCharType="separate"/>
        </w:r>
        <w:r>
          <w:rPr>
            <w:noProof/>
            <w:webHidden/>
          </w:rPr>
          <w:t>51</w:t>
        </w:r>
        <w:r>
          <w:rPr>
            <w:noProof/>
            <w:webHidden/>
          </w:rPr>
          <w:fldChar w:fldCharType="end"/>
        </w:r>
      </w:hyperlink>
    </w:p>
    <w:p w14:paraId="11A75AF7" w14:textId="36F2EACB"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97" w:history="1">
        <w:r w:rsidRPr="00410CBE">
          <w:rPr>
            <w:rStyle w:val="Hyperlink"/>
            <w:noProof/>
          </w:rPr>
          <w:t>7.3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Critical Infrastructure Vulnerability Analysis</w:t>
        </w:r>
        <w:r>
          <w:rPr>
            <w:noProof/>
            <w:webHidden/>
          </w:rPr>
          <w:tab/>
        </w:r>
        <w:r>
          <w:rPr>
            <w:noProof/>
            <w:webHidden/>
          </w:rPr>
          <w:fldChar w:fldCharType="begin"/>
        </w:r>
        <w:r>
          <w:rPr>
            <w:noProof/>
            <w:webHidden/>
          </w:rPr>
          <w:instrText xml:space="preserve"> PAGEREF _Toc181885797 \h </w:instrText>
        </w:r>
        <w:r>
          <w:rPr>
            <w:noProof/>
            <w:webHidden/>
          </w:rPr>
        </w:r>
        <w:r>
          <w:rPr>
            <w:noProof/>
            <w:webHidden/>
          </w:rPr>
          <w:fldChar w:fldCharType="separate"/>
        </w:r>
        <w:r>
          <w:rPr>
            <w:noProof/>
            <w:webHidden/>
          </w:rPr>
          <w:t>53</w:t>
        </w:r>
        <w:r>
          <w:rPr>
            <w:noProof/>
            <w:webHidden/>
          </w:rPr>
          <w:fldChar w:fldCharType="end"/>
        </w:r>
      </w:hyperlink>
    </w:p>
    <w:p w14:paraId="5C596C0D" w14:textId="2FAC80D2"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798" w:history="1">
        <w:r w:rsidRPr="00410CBE">
          <w:rPr>
            <w:rStyle w:val="Hyperlink"/>
            <w:noProof/>
          </w:rPr>
          <w:t>8.</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Telecom/ICT sector in The Gambia</w:t>
        </w:r>
        <w:r>
          <w:rPr>
            <w:noProof/>
            <w:webHidden/>
          </w:rPr>
          <w:tab/>
        </w:r>
        <w:r>
          <w:rPr>
            <w:noProof/>
            <w:webHidden/>
          </w:rPr>
          <w:fldChar w:fldCharType="begin"/>
        </w:r>
        <w:r>
          <w:rPr>
            <w:noProof/>
            <w:webHidden/>
          </w:rPr>
          <w:instrText xml:space="preserve"> PAGEREF _Toc181885798 \h </w:instrText>
        </w:r>
        <w:r>
          <w:rPr>
            <w:noProof/>
            <w:webHidden/>
          </w:rPr>
        </w:r>
        <w:r>
          <w:rPr>
            <w:noProof/>
            <w:webHidden/>
          </w:rPr>
          <w:fldChar w:fldCharType="separate"/>
        </w:r>
        <w:r>
          <w:rPr>
            <w:noProof/>
            <w:webHidden/>
          </w:rPr>
          <w:t>55</w:t>
        </w:r>
        <w:r>
          <w:rPr>
            <w:noProof/>
            <w:webHidden/>
          </w:rPr>
          <w:fldChar w:fldCharType="end"/>
        </w:r>
      </w:hyperlink>
    </w:p>
    <w:p w14:paraId="6D932302" w14:textId="47BCCE96"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799" w:history="1">
        <w:r w:rsidRPr="00410CBE">
          <w:rPr>
            <w:rStyle w:val="Hyperlink"/>
            <w:noProof/>
          </w:rPr>
          <w:t>8.1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Overview</w:t>
        </w:r>
        <w:r>
          <w:rPr>
            <w:noProof/>
            <w:webHidden/>
          </w:rPr>
          <w:tab/>
        </w:r>
        <w:r>
          <w:rPr>
            <w:noProof/>
            <w:webHidden/>
          </w:rPr>
          <w:fldChar w:fldCharType="begin"/>
        </w:r>
        <w:r>
          <w:rPr>
            <w:noProof/>
            <w:webHidden/>
          </w:rPr>
          <w:instrText xml:space="preserve"> PAGEREF _Toc181885799 \h </w:instrText>
        </w:r>
        <w:r>
          <w:rPr>
            <w:noProof/>
            <w:webHidden/>
          </w:rPr>
        </w:r>
        <w:r>
          <w:rPr>
            <w:noProof/>
            <w:webHidden/>
          </w:rPr>
          <w:fldChar w:fldCharType="separate"/>
        </w:r>
        <w:r>
          <w:rPr>
            <w:noProof/>
            <w:webHidden/>
          </w:rPr>
          <w:t>55</w:t>
        </w:r>
        <w:r>
          <w:rPr>
            <w:noProof/>
            <w:webHidden/>
          </w:rPr>
          <w:fldChar w:fldCharType="end"/>
        </w:r>
      </w:hyperlink>
    </w:p>
    <w:p w14:paraId="40B30055" w14:textId="3D2451A0"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00" w:history="1">
        <w:r w:rsidRPr="00410CBE">
          <w:rPr>
            <w:rStyle w:val="Hyperlink"/>
            <w:noProof/>
          </w:rPr>
          <w:t>8.2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Domestic Networks Overview</w:t>
        </w:r>
        <w:r>
          <w:rPr>
            <w:noProof/>
            <w:webHidden/>
          </w:rPr>
          <w:tab/>
        </w:r>
        <w:r>
          <w:rPr>
            <w:noProof/>
            <w:webHidden/>
          </w:rPr>
          <w:fldChar w:fldCharType="begin"/>
        </w:r>
        <w:r>
          <w:rPr>
            <w:noProof/>
            <w:webHidden/>
          </w:rPr>
          <w:instrText xml:space="preserve"> PAGEREF _Toc181885800 \h </w:instrText>
        </w:r>
        <w:r>
          <w:rPr>
            <w:noProof/>
            <w:webHidden/>
          </w:rPr>
        </w:r>
        <w:r>
          <w:rPr>
            <w:noProof/>
            <w:webHidden/>
          </w:rPr>
          <w:fldChar w:fldCharType="separate"/>
        </w:r>
        <w:r>
          <w:rPr>
            <w:noProof/>
            <w:webHidden/>
          </w:rPr>
          <w:t>56</w:t>
        </w:r>
        <w:r>
          <w:rPr>
            <w:noProof/>
            <w:webHidden/>
          </w:rPr>
          <w:fldChar w:fldCharType="end"/>
        </w:r>
      </w:hyperlink>
    </w:p>
    <w:p w14:paraId="2E20996B" w14:textId="1D0C77D5"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01" w:history="1">
        <w:r w:rsidRPr="00410CBE">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Backhaul Networks</w:t>
        </w:r>
        <w:r>
          <w:rPr>
            <w:noProof/>
            <w:webHidden/>
          </w:rPr>
          <w:tab/>
        </w:r>
        <w:r>
          <w:rPr>
            <w:noProof/>
            <w:webHidden/>
          </w:rPr>
          <w:fldChar w:fldCharType="begin"/>
        </w:r>
        <w:r>
          <w:rPr>
            <w:noProof/>
            <w:webHidden/>
          </w:rPr>
          <w:instrText xml:space="preserve"> PAGEREF _Toc181885801 \h </w:instrText>
        </w:r>
        <w:r>
          <w:rPr>
            <w:noProof/>
            <w:webHidden/>
          </w:rPr>
        </w:r>
        <w:r>
          <w:rPr>
            <w:noProof/>
            <w:webHidden/>
          </w:rPr>
          <w:fldChar w:fldCharType="separate"/>
        </w:r>
        <w:r>
          <w:rPr>
            <w:noProof/>
            <w:webHidden/>
          </w:rPr>
          <w:t>56</w:t>
        </w:r>
        <w:r>
          <w:rPr>
            <w:noProof/>
            <w:webHidden/>
          </w:rPr>
          <w:fldChar w:fldCharType="end"/>
        </w:r>
      </w:hyperlink>
    </w:p>
    <w:p w14:paraId="33AA5DDC" w14:textId="134949F2"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02" w:history="1">
        <w:r w:rsidRPr="00410CBE">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Access Networks</w:t>
        </w:r>
        <w:r>
          <w:rPr>
            <w:noProof/>
            <w:webHidden/>
          </w:rPr>
          <w:tab/>
        </w:r>
        <w:r>
          <w:rPr>
            <w:noProof/>
            <w:webHidden/>
          </w:rPr>
          <w:fldChar w:fldCharType="begin"/>
        </w:r>
        <w:r>
          <w:rPr>
            <w:noProof/>
            <w:webHidden/>
          </w:rPr>
          <w:instrText xml:space="preserve"> PAGEREF _Toc181885802 \h </w:instrText>
        </w:r>
        <w:r>
          <w:rPr>
            <w:noProof/>
            <w:webHidden/>
          </w:rPr>
        </w:r>
        <w:r>
          <w:rPr>
            <w:noProof/>
            <w:webHidden/>
          </w:rPr>
          <w:fldChar w:fldCharType="separate"/>
        </w:r>
        <w:r>
          <w:rPr>
            <w:noProof/>
            <w:webHidden/>
          </w:rPr>
          <w:t>58</w:t>
        </w:r>
        <w:r>
          <w:rPr>
            <w:noProof/>
            <w:webHidden/>
          </w:rPr>
          <w:fldChar w:fldCharType="end"/>
        </w:r>
      </w:hyperlink>
    </w:p>
    <w:p w14:paraId="29DF9F68" w14:textId="6AD26063"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03" w:history="1">
        <w:r w:rsidRPr="00410CBE">
          <w:rPr>
            <w:rStyle w:val="Hyperlink"/>
            <w:noProof/>
          </w:rPr>
          <w:t>8.3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Mobile Networks</w:t>
        </w:r>
        <w:r>
          <w:rPr>
            <w:noProof/>
            <w:webHidden/>
          </w:rPr>
          <w:tab/>
        </w:r>
        <w:r>
          <w:rPr>
            <w:noProof/>
            <w:webHidden/>
          </w:rPr>
          <w:fldChar w:fldCharType="begin"/>
        </w:r>
        <w:r>
          <w:rPr>
            <w:noProof/>
            <w:webHidden/>
          </w:rPr>
          <w:instrText xml:space="preserve"> PAGEREF _Toc181885803 \h </w:instrText>
        </w:r>
        <w:r>
          <w:rPr>
            <w:noProof/>
            <w:webHidden/>
          </w:rPr>
        </w:r>
        <w:r>
          <w:rPr>
            <w:noProof/>
            <w:webHidden/>
          </w:rPr>
          <w:fldChar w:fldCharType="separate"/>
        </w:r>
        <w:r>
          <w:rPr>
            <w:noProof/>
            <w:webHidden/>
          </w:rPr>
          <w:t>59</w:t>
        </w:r>
        <w:r>
          <w:rPr>
            <w:noProof/>
            <w:webHidden/>
          </w:rPr>
          <w:fldChar w:fldCharType="end"/>
        </w:r>
      </w:hyperlink>
    </w:p>
    <w:p w14:paraId="02F3347F" w14:textId="4E8BD8C8"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04" w:history="1">
        <w:r w:rsidRPr="00410CBE">
          <w:rPr>
            <w:rStyle w:val="Hyperlink"/>
            <w:noProof/>
          </w:rPr>
          <w:t>8.4</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International Connectivity - Submarine Cables</w:t>
        </w:r>
        <w:r>
          <w:rPr>
            <w:noProof/>
            <w:webHidden/>
          </w:rPr>
          <w:tab/>
        </w:r>
        <w:r>
          <w:rPr>
            <w:noProof/>
            <w:webHidden/>
          </w:rPr>
          <w:fldChar w:fldCharType="begin"/>
        </w:r>
        <w:r>
          <w:rPr>
            <w:noProof/>
            <w:webHidden/>
          </w:rPr>
          <w:instrText xml:space="preserve"> PAGEREF _Toc181885804 \h </w:instrText>
        </w:r>
        <w:r>
          <w:rPr>
            <w:noProof/>
            <w:webHidden/>
          </w:rPr>
        </w:r>
        <w:r>
          <w:rPr>
            <w:noProof/>
            <w:webHidden/>
          </w:rPr>
          <w:fldChar w:fldCharType="separate"/>
        </w:r>
        <w:r>
          <w:rPr>
            <w:noProof/>
            <w:webHidden/>
          </w:rPr>
          <w:t>62</w:t>
        </w:r>
        <w:r>
          <w:rPr>
            <w:noProof/>
            <w:webHidden/>
          </w:rPr>
          <w:fldChar w:fldCharType="end"/>
        </w:r>
      </w:hyperlink>
    </w:p>
    <w:p w14:paraId="4731AC33" w14:textId="77B1BAF6"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05" w:history="1">
        <w:r w:rsidRPr="00410CBE">
          <w:rPr>
            <w:rStyle w:val="Hyperlink"/>
            <w:noProof/>
          </w:rPr>
          <w:t>8.4.1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Cable Breaks</w:t>
        </w:r>
        <w:r>
          <w:rPr>
            <w:noProof/>
            <w:webHidden/>
          </w:rPr>
          <w:tab/>
        </w:r>
        <w:r>
          <w:rPr>
            <w:noProof/>
            <w:webHidden/>
          </w:rPr>
          <w:fldChar w:fldCharType="begin"/>
        </w:r>
        <w:r>
          <w:rPr>
            <w:noProof/>
            <w:webHidden/>
          </w:rPr>
          <w:instrText xml:space="preserve"> PAGEREF _Toc181885805 \h </w:instrText>
        </w:r>
        <w:r>
          <w:rPr>
            <w:noProof/>
            <w:webHidden/>
          </w:rPr>
        </w:r>
        <w:r>
          <w:rPr>
            <w:noProof/>
            <w:webHidden/>
          </w:rPr>
          <w:fldChar w:fldCharType="separate"/>
        </w:r>
        <w:r>
          <w:rPr>
            <w:noProof/>
            <w:webHidden/>
          </w:rPr>
          <w:t>64</w:t>
        </w:r>
        <w:r>
          <w:rPr>
            <w:noProof/>
            <w:webHidden/>
          </w:rPr>
          <w:fldChar w:fldCharType="end"/>
        </w:r>
      </w:hyperlink>
    </w:p>
    <w:p w14:paraId="57A805FB" w14:textId="14A67669"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06" w:history="1">
        <w:r w:rsidRPr="00410CBE">
          <w:rPr>
            <w:rStyle w:val="Hyperlink"/>
            <w:noProof/>
          </w:rPr>
          <w:t>8.5</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International Connectivity - Satellites</w:t>
        </w:r>
        <w:r>
          <w:rPr>
            <w:noProof/>
            <w:webHidden/>
          </w:rPr>
          <w:tab/>
        </w:r>
        <w:r>
          <w:rPr>
            <w:noProof/>
            <w:webHidden/>
          </w:rPr>
          <w:fldChar w:fldCharType="begin"/>
        </w:r>
        <w:r>
          <w:rPr>
            <w:noProof/>
            <w:webHidden/>
          </w:rPr>
          <w:instrText xml:space="preserve"> PAGEREF _Toc181885806 \h </w:instrText>
        </w:r>
        <w:r>
          <w:rPr>
            <w:noProof/>
            <w:webHidden/>
          </w:rPr>
        </w:r>
        <w:r>
          <w:rPr>
            <w:noProof/>
            <w:webHidden/>
          </w:rPr>
          <w:fldChar w:fldCharType="separate"/>
        </w:r>
        <w:r>
          <w:rPr>
            <w:noProof/>
            <w:webHidden/>
          </w:rPr>
          <w:t>64</w:t>
        </w:r>
        <w:r>
          <w:rPr>
            <w:noProof/>
            <w:webHidden/>
          </w:rPr>
          <w:fldChar w:fldCharType="end"/>
        </w:r>
      </w:hyperlink>
    </w:p>
    <w:p w14:paraId="63FA5CC7" w14:textId="2B45A1A6"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07" w:history="1">
        <w:r w:rsidRPr="00410CBE">
          <w:rPr>
            <w:rStyle w:val="Hyperlink"/>
            <w:noProof/>
          </w:rPr>
          <w:t>8.5.1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Low Earth Orbit (LEO) Satellite Providers</w:t>
        </w:r>
        <w:r>
          <w:rPr>
            <w:noProof/>
            <w:webHidden/>
          </w:rPr>
          <w:tab/>
        </w:r>
        <w:r>
          <w:rPr>
            <w:noProof/>
            <w:webHidden/>
          </w:rPr>
          <w:fldChar w:fldCharType="begin"/>
        </w:r>
        <w:r>
          <w:rPr>
            <w:noProof/>
            <w:webHidden/>
          </w:rPr>
          <w:instrText xml:space="preserve"> PAGEREF _Toc181885807 \h </w:instrText>
        </w:r>
        <w:r>
          <w:rPr>
            <w:noProof/>
            <w:webHidden/>
          </w:rPr>
        </w:r>
        <w:r>
          <w:rPr>
            <w:noProof/>
            <w:webHidden/>
          </w:rPr>
          <w:fldChar w:fldCharType="separate"/>
        </w:r>
        <w:r>
          <w:rPr>
            <w:noProof/>
            <w:webHidden/>
          </w:rPr>
          <w:t>65</w:t>
        </w:r>
        <w:r>
          <w:rPr>
            <w:noProof/>
            <w:webHidden/>
          </w:rPr>
          <w:fldChar w:fldCharType="end"/>
        </w:r>
      </w:hyperlink>
    </w:p>
    <w:p w14:paraId="16C61C08" w14:textId="6DB57479"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08" w:history="1">
        <w:r w:rsidRPr="00410CBE">
          <w:rPr>
            <w:rStyle w:val="Hyperlink"/>
            <w:noProof/>
          </w:rPr>
          <w:t>8.5.2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VSAT</w:t>
        </w:r>
        <w:r>
          <w:rPr>
            <w:noProof/>
            <w:webHidden/>
          </w:rPr>
          <w:tab/>
        </w:r>
        <w:r>
          <w:rPr>
            <w:noProof/>
            <w:webHidden/>
          </w:rPr>
          <w:fldChar w:fldCharType="begin"/>
        </w:r>
        <w:r>
          <w:rPr>
            <w:noProof/>
            <w:webHidden/>
          </w:rPr>
          <w:instrText xml:space="preserve"> PAGEREF _Toc181885808 \h </w:instrText>
        </w:r>
        <w:r>
          <w:rPr>
            <w:noProof/>
            <w:webHidden/>
          </w:rPr>
        </w:r>
        <w:r>
          <w:rPr>
            <w:noProof/>
            <w:webHidden/>
          </w:rPr>
          <w:fldChar w:fldCharType="separate"/>
        </w:r>
        <w:r>
          <w:rPr>
            <w:noProof/>
            <w:webHidden/>
          </w:rPr>
          <w:t>66</w:t>
        </w:r>
        <w:r>
          <w:rPr>
            <w:noProof/>
            <w:webHidden/>
          </w:rPr>
          <w:fldChar w:fldCharType="end"/>
        </w:r>
      </w:hyperlink>
    </w:p>
    <w:p w14:paraId="492E1B4C" w14:textId="318497D3"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09" w:history="1">
        <w:r w:rsidRPr="00410CBE">
          <w:rPr>
            <w:rStyle w:val="Hyperlink"/>
            <w:noProof/>
          </w:rPr>
          <w:t>8.5.3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Broadband Global Area Network (BGAN)</w:t>
        </w:r>
        <w:r>
          <w:rPr>
            <w:noProof/>
            <w:webHidden/>
          </w:rPr>
          <w:tab/>
        </w:r>
        <w:r>
          <w:rPr>
            <w:noProof/>
            <w:webHidden/>
          </w:rPr>
          <w:fldChar w:fldCharType="begin"/>
        </w:r>
        <w:r>
          <w:rPr>
            <w:noProof/>
            <w:webHidden/>
          </w:rPr>
          <w:instrText xml:space="preserve"> PAGEREF _Toc181885809 \h </w:instrText>
        </w:r>
        <w:r>
          <w:rPr>
            <w:noProof/>
            <w:webHidden/>
          </w:rPr>
        </w:r>
        <w:r>
          <w:rPr>
            <w:noProof/>
            <w:webHidden/>
          </w:rPr>
          <w:fldChar w:fldCharType="separate"/>
        </w:r>
        <w:r>
          <w:rPr>
            <w:noProof/>
            <w:webHidden/>
          </w:rPr>
          <w:t>66</w:t>
        </w:r>
        <w:r>
          <w:rPr>
            <w:noProof/>
            <w:webHidden/>
          </w:rPr>
          <w:fldChar w:fldCharType="end"/>
        </w:r>
      </w:hyperlink>
    </w:p>
    <w:p w14:paraId="08DA1BE3" w14:textId="189D0295"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10" w:history="1">
        <w:r w:rsidRPr="00410CBE">
          <w:rPr>
            <w:rStyle w:val="Hyperlink"/>
            <w:noProof/>
          </w:rPr>
          <w:t>8.5.4</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Satellite Phones</w:t>
        </w:r>
        <w:r>
          <w:rPr>
            <w:noProof/>
            <w:webHidden/>
          </w:rPr>
          <w:tab/>
        </w:r>
        <w:r>
          <w:rPr>
            <w:noProof/>
            <w:webHidden/>
          </w:rPr>
          <w:fldChar w:fldCharType="begin"/>
        </w:r>
        <w:r>
          <w:rPr>
            <w:noProof/>
            <w:webHidden/>
          </w:rPr>
          <w:instrText xml:space="preserve"> PAGEREF _Toc181885810 \h </w:instrText>
        </w:r>
        <w:r>
          <w:rPr>
            <w:noProof/>
            <w:webHidden/>
          </w:rPr>
        </w:r>
        <w:r>
          <w:rPr>
            <w:noProof/>
            <w:webHidden/>
          </w:rPr>
          <w:fldChar w:fldCharType="separate"/>
        </w:r>
        <w:r>
          <w:rPr>
            <w:noProof/>
            <w:webHidden/>
          </w:rPr>
          <w:t>67</w:t>
        </w:r>
        <w:r>
          <w:rPr>
            <w:noProof/>
            <w:webHidden/>
          </w:rPr>
          <w:fldChar w:fldCharType="end"/>
        </w:r>
      </w:hyperlink>
    </w:p>
    <w:p w14:paraId="326C8ECF" w14:textId="751D09A9"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11" w:history="1">
        <w:r w:rsidRPr="00410CBE">
          <w:rPr>
            <w:rStyle w:val="Hyperlink"/>
            <w:noProof/>
          </w:rPr>
          <w:t>8.6</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Spectrum Management</w:t>
        </w:r>
        <w:r>
          <w:rPr>
            <w:noProof/>
            <w:webHidden/>
          </w:rPr>
          <w:tab/>
        </w:r>
        <w:r>
          <w:rPr>
            <w:noProof/>
            <w:webHidden/>
          </w:rPr>
          <w:fldChar w:fldCharType="begin"/>
        </w:r>
        <w:r>
          <w:rPr>
            <w:noProof/>
            <w:webHidden/>
          </w:rPr>
          <w:instrText xml:space="preserve"> PAGEREF _Toc181885811 \h </w:instrText>
        </w:r>
        <w:r>
          <w:rPr>
            <w:noProof/>
            <w:webHidden/>
          </w:rPr>
        </w:r>
        <w:r>
          <w:rPr>
            <w:noProof/>
            <w:webHidden/>
          </w:rPr>
          <w:fldChar w:fldCharType="separate"/>
        </w:r>
        <w:r>
          <w:rPr>
            <w:noProof/>
            <w:webHidden/>
          </w:rPr>
          <w:t>67</w:t>
        </w:r>
        <w:r>
          <w:rPr>
            <w:noProof/>
            <w:webHidden/>
          </w:rPr>
          <w:fldChar w:fldCharType="end"/>
        </w:r>
      </w:hyperlink>
    </w:p>
    <w:p w14:paraId="09AF6FA6" w14:textId="2EF3E146"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12" w:history="1">
        <w:r w:rsidRPr="00410CBE">
          <w:rPr>
            <w:rStyle w:val="Hyperlink"/>
            <w:noProof/>
          </w:rPr>
          <w:t>8.6.1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Frequencies for Public Protection and Disaster Relief (PPDR) Region 1</w:t>
        </w:r>
        <w:r>
          <w:rPr>
            <w:noProof/>
            <w:webHidden/>
          </w:rPr>
          <w:tab/>
        </w:r>
        <w:r>
          <w:rPr>
            <w:noProof/>
            <w:webHidden/>
          </w:rPr>
          <w:fldChar w:fldCharType="begin"/>
        </w:r>
        <w:r>
          <w:rPr>
            <w:noProof/>
            <w:webHidden/>
          </w:rPr>
          <w:instrText xml:space="preserve"> PAGEREF _Toc181885812 \h </w:instrText>
        </w:r>
        <w:r>
          <w:rPr>
            <w:noProof/>
            <w:webHidden/>
          </w:rPr>
        </w:r>
        <w:r>
          <w:rPr>
            <w:noProof/>
            <w:webHidden/>
          </w:rPr>
          <w:fldChar w:fldCharType="separate"/>
        </w:r>
        <w:r>
          <w:rPr>
            <w:noProof/>
            <w:webHidden/>
          </w:rPr>
          <w:t>67</w:t>
        </w:r>
        <w:r>
          <w:rPr>
            <w:noProof/>
            <w:webHidden/>
          </w:rPr>
          <w:fldChar w:fldCharType="end"/>
        </w:r>
      </w:hyperlink>
    </w:p>
    <w:p w14:paraId="2A5ADB9E" w14:textId="05041ED6"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13" w:history="1">
        <w:r w:rsidRPr="00410CBE">
          <w:rPr>
            <w:rStyle w:val="Hyperlink"/>
            <w:noProof/>
          </w:rPr>
          <w:t>8.6.2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Models for Use of Frequencies for PPDR</w:t>
        </w:r>
        <w:r>
          <w:rPr>
            <w:noProof/>
            <w:webHidden/>
          </w:rPr>
          <w:tab/>
        </w:r>
        <w:r>
          <w:rPr>
            <w:noProof/>
            <w:webHidden/>
          </w:rPr>
          <w:fldChar w:fldCharType="begin"/>
        </w:r>
        <w:r>
          <w:rPr>
            <w:noProof/>
            <w:webHidden/>
          </w:rPr>
          <w:instrText xml:space="preserve"> PAGEREF _Toc181885813 \h </w:instrText>
        </w:r>
        <w:r>
          <w:rPr>
            <w:noProof/>
            <w:webHidden/>
          </w:rPr>
        </w:r>
        <w:r>
          <w:rPr>
            <w:noProof/>
            <w:webHidden/>
          </w:rPr>
          <w:fldChar w:fldCharType="separate"/>
        </w:r>
        <w:r>
          <w:rPr>
            <w:noProof/>
            <w:webHidden/>
          </w:rPr>
          <w:t>68</w:t>
        </w:r>
        <w:r>
          <w:rPr>
            <w:noProof/>
            <w:webHidden/>
          </w:rPr>
          <w:fldChar w:fldCharType="end"/>
        </w:r>
      </w:hyperlink>
    </w:p>
    <w:p w14:paraId="7AA80B98" w14:textId="1095E8C9"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14" w:history="1">
        <w:r w:rsidRPr="00410CBE">
          <w:rPr>
            <w:rStyle w:val="Hyperlink"/>
            <w:noProof/>
          </w:rPr>
          <w:t>8.6.3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Trunked Radio</w:t>
        </w:r>
        <w:r>
          <w:rPr>
            <w:noProof/>
            <w:webHidden/>
          </w:rPr>
          <w:tab/>
        </w:r>
        <w:r>
          <w:rPr>
            <w:noProof/>
            <w:webHidden/>
          </w:rPr>
          <w:fldChar w:fldCharType="begin"/>
        </w:r>
        <w:r>
          <w:rPr>
            <w:noProof/>
            <w:webHidden/>
          </w:rPr>
          <w:instrText xml:space="preserve"> PAGEREF _Toc181885814 \h </w:instrText>
        </w:r>
        <w:r>
          <w:rPr>
            <w:noProof/>
            <w:webHidden/>
          </w:rPr>
        </w:r>
        <w:r>
          <w:rPr>
            <w:noProof/>
            <w:webHidden/>
          </w:rPr>
          <w:fldChar w:fldCharType="separate"/>
        </w:r>
        <w:r>
          <w:rPr>
            <w:noProof/>
            <w:webHidden/>
          </w:rPr>
          <w:t>69</w:t>
        </w:r>
        <w:r>
          <w:rPr>
            <w:noProof/>
            <w:webHidden/>
          </w:rPr>
          <w:fldChar w:fldCharType="end"/>
        </w:r>
      </w:hyperlink>
    </w:p>
    <w:p w14:paraId="1BD1C633" w14:textId="6FF0531E"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15" w:history="1">
        <w:r w:rsidRPr="00410CBE">
          <w:rPr>
            <w:rStyle w:val="Hyperlink"/>
            <w:noProof/>
          </w:rPr>
          <w:t>8.7</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Broadcast Services</w:t>
        </w:r>
        <w:r>
          <w:rPr>
            <w:noProof/>
            <w:webHidden/>
          </w:rPr>
          <w:tab/>
        </w:r>
        <w:r>
          <w:rPr>
            <w:noProof/>
            <w:webHidden/>
          </w:rPr>
          <w:fldChar w:fldCharType="begin"/>
        </w:r>
        <w:r>
          <w:rPr>
            <w:noProof/>
            <w:webHidden/>
          </w:rPr>
          <w:instrText xml:space="preserve"> PAGEREF _Toc181885815 \h </w:instrText>
        </w:r>
        <w:r>
          <w:rPr>
            <w:noProof/>
            <w:webHidden/>
          </w:rPr>
        </w:r>
        <w:r>
          <w:rPr>
            <w:noProof/>
            <w:webHidden/>
          </w:rPr>
          <w:fldChar w:fldCharType="separate"/>
        </w:r>
        <w:r>
          <w:rPr>
            <w:noProof/>
            <w:webHidden/>
          </w:rPr>
          <w:t>69</w:t>
        </w:r>
        <w:r>
          <w:rPr>
            <w:noProof/>
            <w:webHidden/>
          </w:rPr>
          <w:fldChar w:fldCharType="end"/>
        </w:r>
      </w:hyperlink>
    </w:p>
    <w:p w14:paraId="59AD4F4B" w14:textId="4579D7B4"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16" w:history="1">
        <w:r w:rsidRPr="00410CBE">
          <w:rPr>
            <w:rStyle w:val="Hyperlink"/>
            <w:noProof/>
          </w:rPr>
          <w:t>8.8</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Other Networks and Telecommunications Equipment</w:t>
        </w:r>
        <w:r>
          <w:rPr>
            <w:noProof/>
            <w:webHidden/>
          </w:rPr>
          <w:tab/>
        </w:r>
        <w:r>
          <w:rPr>
            <w:noProof/>
            <w:webHidden/>
          </w:rPr>
          <w:fldChar w:fldCharType="begin"/>
        </w:r>
        <w:r>
          <w:rPr>
            <w:noProof/>
            <w:webHidden/>
          </w:rPr>
          <w:instrText xml:space="preserve"> PAGEREF _Toc181885816 \h </w:instrText>
        </w:r>
        <w:r>
          <w:rPr>
            <w:noProof/>
            <w:webHidden/>
          </w:rPr>
        </w:r>
        <w:r>
          <w:rPr>
            <w:noProof/>
            <w:webHidden/>
          </w:rPr>
          <w:fldChar w:fldCharType="separate"/>
        </w:r>
        <w:r>
          <w:rPr>
            <w:noProof/>
            <w:webHidden/>
          </w:rPr>
          <w:t>69</w:t>
        </w:r>
        <w:r>
          <w:rPr>
            <w:noProof/>
            <w:webHidden/>
          </w:rPr>
          <w:fldChar w:fldCharType="end"/>
        </w:r>
      </w:hyperlink>
    </w:p>
    <w:p w14:paraId="68C7D5FF" w14:textId="03270425"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17" w:history="1">
        <w:r w:rsidRPr="00410CBE">
          <w:rPr>
            <w:rStyle w:val="Hyperlink"/>
            <w:noProof/>
          </w:rPr>
          <w:t>8.8.1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Humanitarian Networks</w:t>
        </w:r>
        <w:r>
          <w:rPr>
            <w:noProof/>
            <w:webHidden/>
          </w:rPr>
          <w:tab/>
        </w:r>
        <w:r>
          <w:rPr>
            <w:noProof/>
            <w:webHidden/>
          </w:rPr>
          <w:fldChar w:fldCharType="begin"/>
        </w:r>
        <w:r>
          <w:rPr>
            <w:noProof/>
            <w:webHidden/>
          </w:rPr>
          <w:instrText xml:space="preserve"> PAGEREF _Toc181885817 \h </w:instrText>
        </w:r>
        <w:r>
          <w:rPr>
            <w:noProof/>
            <w:webHidden/>
          </w:rPr>
        </w:r>
        <w:r>
          <w:rPr>
            <w:noProof/>
            <w:webHidden/>
          </w:rPr>
          <w:fldChar w:fldCharType="separate"/>
        </w:r>
        <w:r>
          <w:rPr>
            <w:noProof/>
            <w:webHidden/>
          </w:rPr>
          <w:t>70</w:t>
        </w:r>
        <w:r>
          <w:rPr>
            <w:noProof/>
            <w:webHidden/>
          </w:rPr>
          <w:fldChar w:fldCharType="end"/>
        </w:r>
      </w:hyperlink>
    </w:p>
    <w:p w14:paraId="55698B1A" w14:textId="62CEB376"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18" w:history="1">
        <w:r w:rsidRPr="00410CBE">
          <w:rPr>
            <w:rStyle w:val="Hyperlink"/>
            <w:noProof/>
          </w:rPr>
          <w:t>8.8.2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Radio Amateurs</w:t>
        </w:r>
        <w:r>
          <w:rPr>
            <w:noProof/>
            <w:webHidden/>
          </w:rPr>
          <w:tab/>
        </w:r>
        <w:r>
          <w:rPr>
            <w:noProof/>
            <w:webHidden/>
          </w:rPr>
          <w:fldChar w:fldCharType="begin"/>
        </w:r>
        <w:r>
          <w:rPr>
            <w:noProof/>
            <w:webHidden/>
          </w:rPr>
          <w:instrText xml:space="preserve"> PAGEREF _Toc181885818 \h </w:instrText>
        </w:r>
        <w:r>
          <w:rPr>
            <w:noProof/>
            <w:webHidden/>
          </w:rPr>
        </w:r>
        <w:r>
          <w:rPr>
            <w:noProof/>
            <w:webHidden/>
          </w:rPr>
          <w:fldChar w:fldCharType="separate"/>
        </w:r>
        <w:r>
          <w:rPr>
            <w:noProof/>
            <w:webHidden/>
          </w:rPr>
          <w:t>70</w:t>
        </w:r>
        <w:r>
          <w:rPr>
            <w:noProof/>
            <w:webHidden/>
          </w:rPr>
          <w:fldChar w:fldCharType="end"/>
        </w:r>
      </w:hyperlink>
    </w:p>
    <w:p w14:paraId="4D0A3AC3" w14:textId="14CF4FC6"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19" w:history="1">
        <w:r w:rsidRPr="00410CBE">
          <w:rPr>
            <w:rStyle w:val="Hyperlink"/>
            <w:noProof/>
          </w:rPr>
          <w:t>9.</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International Cooperation</w:t>
        </w:r>
        <w:r>
          <w:rPr>
            <w:noProof/>
            <w:webHidden/>
          </w:rPr>
          <w:tab/>
        </w:r>
        <w:r>
          <w:rPr>
            <w:noProof/>
            <w:webHidden/>
          </w:rPr>
          <w:fldChar w:fldCharType="begin"/>
        </w:r>
        <w:r>
          <w:rPr>
            <w:noProof/>
            <w:webHidden/>
          </w:rPr>
          <w:instrText xml:space="preserve"> PAGEREF _Toc181885819 \h </w:instrText>
        </w:r>
        <w:r>
          <w:rPr>
            <w:noProof/>
            <w:webHidden/>
          </w:rPr>
        </w:r>
        <w:r>
          <w:rPr>
            <w:noProof/>
            <w:webHidden/>
          </w:rPr>
          <w:fldChar w:fldCharType="separate"/>
        </w:r>
        <w:r>
          <w:rPr>
            <w:noProof/>
            <w:webHidden/>
          </w:rPr>
          <w:t>72</w:t>
        </w:r>
        <w:r>
          <w:rPr>
            <w:noProof/>
            <w:webHidden/>
          </w:rPr>
          <w:fldChar w:fldCharType="end"/>
        </w:r>
      </w:hyperlink>
    </w:p>
    <w:p w14:paraId="1C7D2E46" w14:textId="06082B7A"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0" w:history="1">
        <w:r w:rsidRPr="00410CBE">
          <w:rPr>
            <w:rStyle w:val="Hyperlink"/>
            <w:noProof/>
          </w:rPr>
          <w:t>9.1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Tampere Convention</w:t>
        </w:r>
        <w:r>
          <w:rPr>
            <w:noProof/>
            <w:webHidden/>
          </w:rPr>
          <w:tab/>
        </w:r>
        <w:r>
          <w:rPr>
            <w:noProof/>
            <w:webHidden/>
          </w:rPr>
          <w:fldChar w:fldCharType="begin"/>
        </w:r>
        <w:r>
          <w:rPr>
            <w:noProof/>
            <w:webHidden/>
          </w:rPr>
          <w:instrText xml:space="preserve"> PAGEREF _Toc181885820 \h </w:instrText>
        </w:r>
        <w:r>
          <w:rPr>
            <w:noProof/>
            <w:webHidden/>
          </w:rPr>
        </w:r>
        <w:r>
          <w:rPr>
            <w:noProof/>
            <w:webHidden/>
          </w:rPr>
          <w:fldChar w:fldCharType="separate"/>
        </w:r>
        <w:r>
          <w:rPr>
            <w:noProof/>
            <w:webHidden/>
          </w:rPr>
          <w:t>72</w:t>
        </w:r>
        <w:r>
          <w:rPr>
            <w:noProof/>
            <w:webHidden/>
          </w:rPr>
          <w:fldChar w:fldCharType="end"/>
        </w:r>
      </w:hyperlink>
    </w:p>
    <w:p w14:paraId="0964E855" w14:textId="66F96C1E"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1" w:history="1">
        <w:r w:rsidRPr="00410CBE">
          <w:rPr>
            <w:rStyle w:val="Hyperlink"/>
            <w:noProof/>
          </w:rPr>
          <w:t>9.2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Africa Risk Capacity Agreement</w:t>
        </w:r>
        <w:r>
          <w:rPr>
            <w:noProof/>
            <w:webHidden/>
          </w:rPr>
          <w:tab/>
        </w:r>
        <w:r>
          <w:rPr>
            <w:noProof/>
            <w:webHidden/>
          </w:rPr>
          <w:fldChar w:fldCharType="begin"/>
        </w:r>
        <w:r>
          <w:rPr>
            <w:noProof/>
            <w:webHidden/>
          </w:rPr>
          <w:instrText xml:space="preserve"> PAGEREF _Toc181885821 \h </w:instrText>
        </w:r>
        <w:r>
          <w:rPr>
            <w:noProof/>
            <w:webHidden/>
          </w:rPr>
        </w:r>
        <w:r>
          <w:rPr>
            <w:noProof/>
            <w:webHidden/>
          </w:rPr>
          <w:fldChar w:fldCharType="separate"/>
        </w:r>
        <w:r>
          <w:rPr>
            <w:noProof/>
            <w:webHidden/>
          </w:rPr>
          <w:t>73</w:t>
        </w:r>
        <w:r>
          <w:rPr>
            <w:noProof/>
            <w:webHidden/>
          </w:rPr>
          <w:fldChar w:fldCharType="end"/>
        </w:r>
      </w:hyperlink>
    </w:p>
    <w:p w14:paraId="7F31C17E" w14:textId="4D80EB0A"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2" w:history="1">
        <w:r w:rsidRPr="00410CBE">
          <w:rPr>
            <w:rStyle w:val="Hyperlink"/>
            <w:noProof/>
          </w:rPr>
          <w:t>9.3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Crisis Connectivity Charter (CCC)</w:t>
        </w:r>
        <w:r>
          <w:rPr>
            <w:noProof/>
            <w:webHidden/>
          </w:rPr>
          <w:tab/>
        </w:r>
        <w:r>
          <w:rPr>
            <w:noProof/>
            <w:webHidden/>
          </w:rPr>
          <w:fldChar w:fldCharType="begin"/>
        </w:r>
        <w:r>
          <w:rPr>
            <w:noProof/>
            <w:webHidden/>
          </w:rPr>
          <w:instrText xml:space="preserve"> PAGEREF _Toc181885822 \h </w:instrText>
        </w:r>
        <w:r>
          <w:rPr>
            <w:noProof/>
            <w:webHidden/>
          </w:rPr>
        </w:r>
        <w:r>
          <w:rPr>
            <w:noProof/>
            <w:webHidden/>
          </w:rPr>
          <w:fldChar w:fldCharType="separate"/>
        </w:r>
        <w:r>
          <w:rPr>
            <w:noProof/>
            <w:webHidden/>
          </w:rPr>
          <w:t>74</w:t>
        </w:r>
        <w:r>
          <w:rPr>
            <w:noProof/>
            <w:webHidden/>
          </w:rPr>
          <w:fldChar w:fldCharType="end"/>
        </w:r>
      </w:hyperlink>
    </w:p>
    <w:p w14:paraId="32D8FCF4" w14:textId="017D13A9"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3" w:history="1">
        <w:r w:rsidRPr="00410CBE">
          <w:rPr>
            <w:rStyle w:val="Hyperlink"/>
            <w:noProof/>
          </w:rPr>
          <w:t>9.4</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International Charter on Space and Major Disasters</w:t>
        </w:r>
        <w:r>
          <w:rPr>
            <w:noProof/>
            <w:webHidden/>
          </w:rPr>
          <w:tab/>
        </w:r>
        <w:r>
          <w:rPr>
            <w:noProof/>
            <w:webHidden/>
          </w:rPr>
          <w:fldChar w:fldCharType="begin"/>
        </w:r>
        <w:r>
          <w:rPr>
            <w:noProof/>
            <w:webHidden/>
          </w:rPr>
          <w:instrText xml:space="preserve"> PAGEREF _Toc181885823 \h </w:instrText>
        </w:r>
        <w:r>
          <w:rPr>
            <w:noProof/>
            <w:webHidden/>
          </w:rPr>
        </w:r>
        <w:r>
          <w:rPr>
            <w:noProof/>
            <w:webHidden/>
          </w:rPr>
          <w:fldChar w:fldCharType="separate"/>
        </w:r>
        <w:r>
          <w:rPr>
            <w:noProof/>
            <w:webHidden/>
          </w:rPr>
          <w:t>74</w:t>
        </w:r>
        <w:r>
          <w:rPr>
            <w:noProof/>
            <w:webHidden/>
          </w:rPr>
          <w:fldChar w:fldCharType="end"/>
        </w:r>
      </w:hyperlink>
    </w:p>
    <w:p w14:paraId="496CF1FC" w14:textId="49A0DA2E"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4" w:history="1">
        <w:r w:rsidRPr="00410CBE">
          <w:rPr>
            <w:rStyle w:val="Hyperlink"/>
            <w:noProof/>
          </w:rPr>
          <w:t>9.5</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United Nations Disaster Assessment and Coordination (UNDAC)</w:t>
        </w:r>
        <w:r>
          <w:rPr>
            <w:noProof/>
            <w:webHidden/>
          </w:rPr>
          <w:tab/>
        </w:r>
        <w:r>
          <w:rPr>
            <w:noProof/>
            <w:webHidden/>
          </w:rPr>
          <w:fldChar w:fldCharType="begin"/>
        </w:r>
        <w:r>
          <w:rPr>
            <w:noProof/>
            <w:webHidden/>
          </w:rPr>
          <w:instrText xml:space="preserve"> PAGEREF _Toc181885824 \h </w:instrText>
        </w:r>
        <w:r>
          <w:rPr>
            <w:noProof/>
            <w:webHidden/>
          </w:rPr>
        </w:r>
        <w:r>
          <w:rPr>
            <w:noProof/>
            <w:webHidden/>
          </w:rPr>
          <w:fldChar w:fldCharType="separate"/>
        </w:r>
        <w:r>
          <w:rPr>
            <w:noProof/>
            <w:webHidden/>
          </w:rPr>
          <w:t>74</w:t>
        </w:r>
        <w:r>
          <w:rPr>
            <w:noProof/>
            <w:webHidden/>
          </w:rPr>
          <w:fldChar w:fldCharType="end"/>
        </w:r>
      </w:hyperlink>
    </w:p>
    <w:p w14:paraId="738C261D" w14:textId="669D6AFC"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5" w:history="1">
        <w:r w:rsidRPr="00410CBE">
          <w:rPr>
            <w:rStyle w:val="Hyperlink"/>
            <w:noProof/>
          </w:rPr>
          <w:t>9.6</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United Nations (UN) Agencies</w:t>
        </w:r>
        <w:r>
          <w:rPr>
            <w:noProof/>
            <w:webHidden/>
          </w:rPr>
          <w:tab/>
        </w:r>
        <w:r>
          <w:rPr>
            <w:noProof/>
            <w:webHidden/>
          </w:rPr>
          <w:fldChar w:fldCharType="begin"/>
        </w:r>
        <w:r>
          <w:rPr>
            <w:noProof/>
            <w:webHidden/>
          </w:rPr>
          <w:instrText xml:space="preserve"> PAGEREF _Toc181885825 \h </w:instrText>
        </w:r>
        <w:r>
          <w:rPr>
            <w:noProof/>
            <w:webHidden/>
          </w:rPr>
        </w:r>
        <w:r>
          <w:rPr>
            <w:noProof/>
            <w:webHidden/>
          </w:rPr>
          <w:fldChar w:fldCharType="separate"/>
        </w:r>
        <w:r>
          <w:rPr>
            <w:noProof/>
            <w:webHidden/>
          </w:rPr>
          <w:t>75</w:t>
        </w:r>
        <w:r>
          <w:rPr>
            <w:noProof/>
            <w:webHidden/>
          </w:rPr>
          <w:fldChar w:fldCharType="end"/>
        </w:r>
      </w:hyperlink>
    </w:p>
    <w:p w14:paraId="629F1102" w14:textId="2A74739A"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826" w:history="1">
        <w:r w:rsidRPr="00410CBE">
          <w:rPr>
            <w:rStyle w:val="Hyperlink"/>
            <w:noProof/>
          </w:rPr>
          <w:t>Preparedness Phase</w:t>
        </w:r>
        <w:r>
          <w:rPr>
            <w:noProof/>
            <w:webHidden/>
          </w:rPr>
          <w:tab/>
        </w:r>
        <w:r>
          <w:rPr>
            <w:noProof/>
            <w:webHidden/>
          </w:rPr>
          <w:fldChar w:fldCharType="begin"/>
        </w:r>
        <w:r>
          <w:rPr>
            <w:noProof/>
            <w:webHidden/>
          </w:rPr>
          <w:instrText xml:space="preserve"> PAGEREF _Toc181885826 \h </w:instrText>
        </w:r>
        <w:r>
          <w:rPr>
            <w:noProof/>
            <w:webHidden/>
          </w:rPr>
        </w:r>
        <w:r>
          <w:rPr>
            <w:noProof/>
            <w:webHidden/>
          </w:rPr>
          <w:fldChar w:fldCharType="separate"/>
        </w:r>
        <w:r>
          <w:rPr>
            <w:noProof/>
            <w:webHidden/>
          </w:rPr>
          <w:t>77</w:t>
        </w:r>
        <w:r>
          <w:rPr>
            <w:noProof/>
            <w:webHidden/>
          </w:rPr>
          <w:fldChar w:fldCharType="end"/>
        </w:r>
      </w:hyperlink>
    </w:p>
    <w:p w14:paraId="0B5C57EA" w14:textId="2B40458D"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27" w:history="1">
        <w:r w:rsidRPr="00410CBE">
          <w:rPr>
            <w:rStyle w:val="Hyperlink"/>
            <w:noProof/>
          </w:rPr>
          <w:t>10.</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Early Warning and Alert Systems</w:t>
        </w:r>
        <w:r>
          <w:rPr>
            <w:noProof/>
            <w:webHidden/>
          </w:rPr>
          <w:tab/>
        </w:r>
        <w:r>
          <w:rPr>
            <w:noProof/>
            <w:webHidden/>
          </w:rPr>
          <w:fldChar w:fldCharType="begin"/>
        </w:r>
        <w:r>
          <w:rPr>
            <w:noProof/>
            <w:webHidden/>
          </w:rPr>
          <w:instrText xml:space="preserve"> PAGEREF _Toc181885827 \h </w:instrText>
        </w:r>
        <w:r>
          <w:rPr>
            <w:noProof/>
            <w:webHidden/>
          </w:rPr>
        </w:r>
        <w:r>
          <w:rPr>
            <w:noProof/>
            <w:webHidden/>
          </w:rPr>
          <w:fldChar w:fldCharType="separate"/>
        </w:r>
        <w:r>
          <w:rPr>
            <w:noProof/>
            <w:webHidden/>
          </w:rPr>
          <w:t>77</w:t>
        </w:r>
        <w:r>
          <w:rPr>
            <w:noProof/>
            <w:webHidden/>
          </w:rPr>
          <w:fldChar w:fldCharType="end"/>
        </w:r>
      </w:hyperlink>
    </w:p>
    <w:p w14:paraId="70A56BD8" w14:textId="1384C1C1"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28" w:history="1">
        <w:r w:rsidRPr="00410CBE">
          <w:rPr>
            <w:rStyle w:val="Hyperlink"/>
            <w:noProof/>
          </w:rPr>
          <w:t>10.1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Early Warning System Architecture</w:t>
        </w:r>
        <w:r>
          <w:rPr>
            <w:noProof/>
            <w:webHidden/>
          </w:rPr>
          <w:tab/>
        </w:r>
        <w:r>
          <w:rPr>
            <w:noProof/>
            <w:webHidden/>
          </w:rPr>
          <w:fldChar w:fldCharType="begin"/>
        </w:r>
        <w:r>
          <w:rPr>
            <w:noProof/>
            <w:webHidden/>
          </w:rPr>
          <w:instrText xml:space="preserve"> PAGEREF _Toc181885828 \h </w:instrText>
        </w:r>
        <w:r>
          <w:rPr>
            <w:noProof/>
            <w:webHidden/>
          </w:rPr>
        </w:r>
        <w:r>
          <w:rPr>
            <w:noProof/>
            <w:webHidden/>
          </w:rPr>
          <w:fldChar w:fldCharType="separate"/>
        </w:r>
        <w:r>
          <w:rPr>
            <w:noProof/>
            <w:webHidden/>
          </w:rPr>
          <w:t>77</w:t>
        </w:r>
        <w:r>
          <w:rPr>
            <w:noProof/>
            <w:webHidden/>
          </w:rPr>
          <w:fldChar w:fldCharType="end"/>
        </w:r>
      </w:hyperlink>
    </w:p>
    <w:p w14:paraId="15273462" w14:textId="7CD0BB05"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29" w:history="1">
        <w:r w:rsidRPr="00410CBE">
          <w:rPr>
            <w:rStyle w:val="Hyperlink"/>
            <w:noProof/>
          </w:rPr>
          <w:t>10.1.1</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Monitoring Systems</w:t>
        </w:r>
        <w:r>
          <w:rPr>
            <w:noProof/>
            <w:webHidden/>
          </w:rPr>
          <w:tab/>
        </w:r>
        <w:r>
          <w:rPr>
            <w:noProof/>
            <w:webHidden/>
          </w:rPr>
          <w:fldChar w:fldCharType="begin"/>
        </w:r>
        <w:r>
          <w:rPr>
            <w:noProof/>
            <w:webHidden/>
          </w:rPr>
          <w:instrText xml:space="preserve"> PAGEREF _Toc181885829 \h </w:instrText>
        </w:r>
        <w:r>
          <w:rPr>
            <w:noProof/>
            <w:webHidden/>
          </w:rPr>
        </w:r>
        <w:r>
          <w:rPr>
            <w:noProof/>
            <w:webHidden/>
          </w:rPr>
          <w:fldChar w:fldCharType="separate"/>
        </w:r>
        <w:r>
          <w:rPr>
            <w:noProof/>
            <w:webHidden/>
          </w:rPr>
          <w:t>78</w:t>
        </w:r>
        <w:r>
          <w:rPr>
            <w:noProof/>
            <w:webHidden/>
          </w:rPr>
          <w:fldChar w:fldCharType="end"/>
        </w:r>
      </w:hyperlink>
    </w:p>
    <w:p w14:paraId="1C115145" w14:textId="7B02C08F"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30" w:history="1">
        <w:r w:rsidRPr="00410CBE">
          <w:rPr>
            <w:rStyle w:val="Hyperlink"/>
            <w:noProof/>
          </w:rPr>
          <w:t>10.1.2</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Message Creation</w:t>
        </w:r>
        <w:r>
          <w:rPr>
            <w:noProof/>
            <w:webHidden/>
          </w:rPr>
          <w:tab/>
        </w:r>
        <w:r>
          <w:rPr>
            <w:noProof/>
            <w:webHidden/>
          </w:rPr>
          <w:fldChar w:fldCharType="begin"/>
        </w:r>
        <w:r>
          <w:rPr>
            <w:noProof/>
            <w:webHidden/>
          </w:rPr>
          <w:instrText xml:space="preserve"> PAGEREF _Toc181885830 \h </w:instrText>
        </w:r>
        <w:r>
          <w:rPr>
            <w:noProof/>
            <w:webHidden/>
          </w:rPr>
        </w:r>
        <w:r>
          <w:rPr>
            <w:noProof/>
            <w:webHidden/>
          </w:rPr>
          <w:fldChar w:fldCharType="separate"/>
        </w:r>
        <w:r>
          <w:rPr>
            <w:noProof/>
            <w:webHidden/>
          </w:rPr>
          <w:t>80</w:t>
        </w:r>
        <w:r>
          <w:rPr>
            <w:noProof/>
            <w:webHidden/>
          </w:rPr>
          <w:fldChar w:fldCharType="end"/>
        </w:r>
      </w:hyperlink>
    </w:p>
    <w:p w14:paraId="5F678A59" w14:textId="1EE43E1A" w:rsidR="00681DEA" w:rsidRDefault="00681DEA">
      <w:pPr>
        <w:pStyle w:val="TOC4"/>
        <w:rPr>
          <w:rFonts w:asciiTheme="minorHAnsi" w:eastAsiaTheme="minorEastAsia" w:hAnsiTheme="minorHAnsi" w:cstheme="minorBidi"/>
          <w:noProof/>
          <w:kern w:val="2"/>
          <w:sz w:val="24"/>
          <w:szCs w:val="24"/>
          <w:lang w:eastAsia="en-AU"/>
          <w14:ligatures w14:val="standardContextual"/>
        </w:rPr>
      </w:pPr>
      <w:hyperlink w:anchor="_Toc181885831" w:history="1">
        <w:r w:rsidRPr="00410CBE">
          <w:rPr>
            <w:rStyle w:val="Hyperlink"/>
            <w:noProof/>
          </w:rPr>
          <w:t>10.1.3</w:t>
        </w:r>
        <w:r>
          <w:rPr>
            <w:rFonts w:asciiTheme="minorHAnsi" w:eastAsiaTheme="minorEastAsia" w:hAnsiTheme="minorHAnsi" w:cstheme="minorBidi"/>
            <w:noProof/>
            <w:kern w:val="2"/>
            <w:sz w:val="24"/>
            <w:szCs w:val="24"/>
            <w:lang w:eastAsia="en-AU"/>
            <w14:ligatures w14:val="standardContextual"/>
          </w:rPr>
          <w:tab/>
        </w:r>
        <w:r w:rsidRPr="00410CBE">
          <w:rPr>
            <w:rStyle w:val="Hyperlink"/>
            <w:noProof/>
          </w:rPr>
          <w:t>Alert Dissemination</w:t>
        </w:r>
        <w:r>
          <w:rPr>
            <w:noProof/>
            <w:webHidden/>
          </w:rPr>
          <w:tab/>
        </w:r>
        <w:r>
          <w:rPr>
            <w:noProof/>
            <w:webHidden/>
          </w:rPr>
          <w:fldChar w:fldCharType="begin"/>
        </w:r>
        <w:r>
          <w:rPr>
            <w:noProof/>
            <w:webHidden/>
          </w:rPr>
          <w:instrText xml:space="preserve"> PAGEREF _Toc181885831 \h </w:instrText>
        </w:r>
        <w:r>
          <w:rPr>
            <w:noProof/>
            <w:webHidden/>
          </w:rPr>
        </w:r>
        <w:r>
          <w:rPr>
            <w:noProof/>
            <w:webHidden/>
          </w:rPr>
          <w:fldChar w:fldCharType="separate"/>
        </w:r>
        <w:r>
          <w:rPr>
            <w:noProof/>
            <w:webHidden/>
          </w:rPr>
          <w:t>82</w:t>
        </w:r>
        <w:r>
          <w:rPr>
            <w:noProof/>
            <w:webHidden/>
          </w:rPr>
          <w:fldChar w:fldCharType="end"/>
        </w:r>
      </w:hyperlink>
    </w:p>
    <w:p w14:paraId="223360B6" w14:textId="580CD83E"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2" w:history="1">
        <w:r w:rsidRPr="00410CBE">
          <w:rPr>
            <w:rStyle w:val="Hyperlink"/>
            <w:noProof/>
          </w:rPr>
          <w:t>11.</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Training and Drills</w:t>
        </w:r>
        <w:r>
          <w:rPr>
            <w:noProof/>
            <w:webHidden/>
          </w:rPr>
          <w:tab/>
        </w:r>
        <w:r>
          <w:rPr>
            <w:noProof/>
            <w:webHidden/>
          </w:rPr>
          <w:fldChar w:fldCharType="begin"/>
        </w:r>
        <w:r>
          <w:rPr>
            <w:noProof/>
            <w:webHidden/>
          </w:rPr>
          <w:instrText xml:space="preserve"> PAGEREF _Toc181885832 \h </w:instrText>
        </w:r>
        <w:r>
          <w:rPr>
            <w:noProof/>
            <w:webHidden/>
          </w:rPr>
        </w:r>
        <w:r>
          <w:rPr>
            <w:noProof/>
            <w:webHidden/>
          </w:rPr>
          <w:fldChar w:fldCharType="separate"/>
        </w:r>
        <w:r>
          <w:rPr>
            <w:noProof/>
            <w:webHidden/>
          </w:rPr>
          <w:t>88</w:t>
        </w:r>
        <w:r>
          <w:rPr>
            <w:noProof/>
            <w:webHidden/>
          </w:rPr>
          <w:fldChar w:fldCharType="end"/>
        </w:r>
      </w:hyperlink>
    </w:p>
    <w:p w14:paraId="2811DA92" w14:textId="2803A010"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3" w:history="1">
        <w:r w:rsidRPr="00410CBE">
          <w:rPr>
            <w:rStyle w:val="Hyperlink"/>
            <w:noProof/>
          </w:rPr>
          <w:t>12.</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Support for People with Specific Needs</w:t>
        </w:r>
        <w:r>
          <w:rPr>
            <w:noProof/>
            <w:webHidden/>
          </w:rPr>
          <w:tab/>
        </w:r>
        <w:r>
          <w:rPr>
            <w:noProof/>
            <w:webHidden/>
          </w:rPr>
          <w:fldChar w:fldCharType="begin"/>
        </w:r>
        <w:r>
          <w:rPr>
            <w:noProof/>
            <w:webHidden/>
          </w:rPr>
          <w:instrText xml:space="preserve"> PAGEREF _Toc181885833 \h </w:instrText>
        </w:r>
        <w:r>
          <w:rPr>
            <w:noProof/>
            <w:webHidden/>
          </w:rPr>
        </w:r>
        <w:r>
          <w:rPr>
            <w:noProof/>
            <w:webHidden/>
          </w:rPr>
          <w:fldChar w:fldCharType="separate"/>
        </w:r>
        <w:r>
          <w:rPr>
            <w:noProof/>
            <w:webHidden/>
          </w:rPr>
          <w:t>90</w:t>
        </w:r>
        <w:r>
          <w:rPr>
            <w:noProof/>
            <w:webHidden/>
          </w:rPr>
          <w:fldChar w:fldCharType="end"/>
        </w:r>
      </w:hyperlink>
    </w:p>
    <w:p w14:paraId="4FFACC35" w14:textId="092CB6B9"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4" w:history="1">
        <w:r w:rsidRPr="00410CBE">
          <w:rPr>
            <w:rStyle w:val="Hyperlink"/>
            <w:noProof/>
          </w:rPr>
          <w:t>13.</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Contingency Plans</w:t>
        </w:r>
        <w:r>
          <w:rPr>
            <w:noProof/>
            <w:webHidden/>
          </w:rPr>
          <w:tab/>
        </w:r>
        <w:r>
          <w:rPr>
            <w:noProof/>
            <w:webHidden/>
          </w:rPr>
          <w:fldChar w:fldCharType="begin"/>
        </w:r>
        <w:r>
          <w:rPr>
            <w:noProof/>
            <w:webHidden/>
          </w:rPr>
          <w:instrText xml:space="preserve"> PAGEREF _Toc181885834 \h </w:instrText>
        </w:r>
        <w:r>
          <w:rPr>
            <w:noProof/>
            <w:webHidden/>
          </w:rPr>
        </w:r>
        <w:r>
          <w:rPr>
            <w:noProof/>
            <w:webHidden/>
          </w:rPr>
          <w:fldChar w:fldCharType="separate"/>
        </w:r>
        <w:r>
          <w:rPr>
            <w:noProof/>
            <w:webHidden/>
          </w:rPr>
          <w:t>92</w:t>
        </w:r>
        <w:r>
          <w:rPr>
            <w:noProof/>
            <w:webHidden/>
          </w:rPr>
          <w:fldChar w:fldCharType="end"/>
        </w:r>
      </w:hyperlink>
    </w:p>
    <w:p w14:paraId="6378FDCB" w14:textId="49D5B5E6"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5" w:history="1">
        <w:r w:rsidRPr="00410CBE">
          <w:rPr>
            <w:rStyle w:val="Hyperlink"/>
            <w:noProof/>
          </w:rPr>
          <w:t>14.</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Standard Operating Procedures (SOP)</w:t>
        </w:r>
        <w:r>
          <w:rPr>
            <w:noProof/>
            <w:webHidden/>
          </w:rPr>
          <w:tab/>
        </w:r>
        <w:r>
          <w:rPr>
            <w:noProof/>
            <w:webHidden/>
          </w:rPr>
          <w:fldChar w:fldCharType="begin"/>
        </w:r>
        <w:r>
          <w:rPr>
            <w:noProof/>
            <w:webHidden/>
          </w:rPr>
          <w:instrText xml:space="preserve"> PAGEREF _Toc181885835 \h </w:instrText>
        </w:r>
        <w:r>
          <w:rPr>
            <w:noProof/>
            <w:webHidden/>
          </w:rPr>
        </w:r>
        <w:r>
          <w:rPr>
            <w:noProof/>
            <w:webHidden/>
          </w:rPr>
          <w:fldChar w:fldCharType="separate"/>
        </w:r>
        <w:r>
          <w:rPr>
            <w:noProof/>
            <w:webHidden/>
          </w:rPr>
          <w:t>93</w:t>
        </w:r>
        <w:r>
          <w:rPr>
            <w:noProof/>
            <w:webHidden/>
          </w:rPr>
          <w:fldChar w:fldCharType="end"/>
        </w:r>
      </w:hyperlink>
    </w:p>
    <w:p w14:paraId="33AD4E35" w14:textId="6B790126"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836" w:history="1">
        <w:r w:rsidRPr="00410CBE">
          <w:rPr>
            <w:rStyle w:val="Hyperlink"/>
            <w:noProof/>
          </w:rPr>
          <w:t>Response Phase</w:t>
        </w:r>
        <w:r>
          <w:rPr>
            <w:noProof/>
            <w:webHidden/>
          </w:rPr>
          <w:tab/>
        </w:r>
        <w:r>
          <w:rPr>
            <w:noProof/>
            <w:webHidden/>
          </w:rPr>
          <w:fldChar w:fldCharType="begin"/>
        </w:r>
        <w:r>
          <w:rPr>
            <w:noProof/>
            <w:webHidden/>
          </w:rPr>
          <w:instrText xml:space="preserve"> PAGEREF _Toc181885836 \h </w:instrText>
        </w:r>
        <w:r>
          <w:rPr>
            <w:noProof/>
            <w:webHidden/>
          </w:rPr>
        </w:r>
        <w:r>
          <w:rPr>
            <w:noProof/>
            <w:webHidden/>
          </w:rPr>
          <w:fldChar w:fldCharType="separate"/>
        </w:r>
        <w:r>
          <w:rPr>
            <w:noProof/>
            <w:webHidden/>
          </w:rPr>
          <w:t>95</w:t>
        </w:r>
        <w:r>
          <w:rPr>
            <w:noProof/>
            <w:webHidden/>
          </w:rPr>
          <w:fldChar w:fldCharType="end"/>
        </w:r>
      </w:hyperlink>
    </w:p>
    <w:p w14:paraId="1A9E0B97" w14:textId="709D1BFB"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7" w:history="1">
        <w:r w:rsidRPr="00410CBE">
          <w:rPr>
            <w:rStyle w:val="Hyperlink"/>
            <w:noProof/>
          </w:rPr>
          <w:t>15.</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Emergency Operations Centre - Communication and Coordination</w:t>
        </w:r>
        <w:r>
          <w:rPr>
            <w:noProof/>
            <w:webHidden/>
          </w:rPr>
          <w:tab/>
        </w:r>
        <w:r>
          <w:rPr>
            <w:noProof/>
            <w:webHidden/>
          </w:rPr>
          <w:fldChar w:fldCharType="begin"/>
        </w:r>
        <w:r>
          <w:rPr>
            <w:noProof/>
            <w:webHidden/>
          </w:rPr>
          <w:instrText xml:space="preserve"> PAGEREF _Toc181885837 \h </w:instrText>
        </w:r>
        <w:r>
          <w:rPr>
            <w:noProof/>
            <w:webHidden/>
          </w:rPr>
        </w:r>
        <w:r>
          <w:rPr>
            <w:noProof/>
            <w:webHidden/>
          </w:rPr>
          <w:fldChar w:fldCharType="separate"/>
        </w:r>
        <w:r>
          <w:rPr>
            <w:noProof/>
            <w:webHidden/>
          </w:rPr>
          <w:t>95</w:t>
        </w:r>
        <w:r>
          <w:rPr>
            <w:noProof/>
            <w:webHidden/>
          </w:rPr>
          <w:fldChar w:fldCharType="end"/>
        </w:r>
      </w:hyperlink>
    </w:p>
    <w:p w14:paraId="3C2F6C82" w14:textId="260AC070"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8" w:history="1">
        <w:r w:rsidRPr="00410CBE">
          <w:rPr>
            <w:rStyle w:val="Hyperlink"/>
            <w:noProof/>
          </w:rPr>
          <w:t>16.</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Collection and Analysis of Information</w:t>
        </w:r>
        <w:r>
          <w:rPr>
            <w:noProof/>
            <w:webHidden/>
          </w:rPr>
          <w:tab/>
        </w:r>
        <w:r>
          <w:rPr>
            <w:noProof/>
            <w:webHidden/>
          </w:rPr>
          <w:fldChar w:fldCharType="begin"/>
        </w:r>
        <w:r>
          <w:rPr>
            <w:noProof/>
            <w:webHidden/>
          </w:rPr>
          <w:instrText xml:space="preserve"> PAGEREF _Toc181885838 \h </w:instrText>
        </w:r>
        <w:r>
          <w:rPr>
            <w:noProof/>
            <w:webHidden/>
          </w:rPr>
        </w:r>
        <w:r>
          <w:rPr>
            <w:noProof/>
            <w:webHidden/>
          </w:rPr>
          <w:fldChar w:fldCharType="separate"/>
        </w:r>
        <w:r>
          <w:rPr>
            <w:noProof/>
            <w:webHidden/>
          </w:rPr>
          <w:t>97</w:t>
        </w:r>
        <w:r>
          <w:rPr>
            <w:noProof/>
            <w:webHidden/>
          </w:rPr>
          <w:fldChar w:fldCharType="end"/>
        </w:r>
      </w:hyperlink>
    </w:p>
    <w:p w14:paraId="02628A1A" w14:textId="221BF5AD"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39" w:history="1">
        <w:r w:rsidRPr="00410CBE">
          <w:rPr>
            <w:rStyle w:val="Hyperlink"/>
            <w:noProof/>
          </w:rPr>
          <w:t>17.</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Contact Centre for Emergency Awareness and Updates</w:t>
        </w:r>
        <w:r>
          <w:rPr>
            <w:noProof/>
            <w:webHidden/>
          </w:rPr>
          <w:tab/>
        </w:r>
        <w:r>
          <w:rPr>
            <w:noProof/>
            <w:webHidden/>
          </w:rPr>
          <w:fldChar w:fldCharType="begin"/>
        </w:r>
        <w:r>
          <w:rPr>
            <w:noProof/>
            <w:webHidden/>
          </w:rPr>
          <w:instrText xml:space="preserve"> PAGEREF _Toc181885839 \h </w:instrText>
        </w:r>
        <w:r>
          <w:rPr>
            <w:noProof/>
            <w:webHidden/>
          </w:rPr>
        </w:r>
        <w:r>
          <w:rPr>
            <w:noProof/>
            <w:webHidden/>
          </w:rPr>
          <w:fldChar w:fldCharType="separate"/>
        </w:r>
        <w:r>
          <w:rPr>
            <w:noProof/>
            <w:webHidden/>
          </w:rPr>
          <w:t>98</w:t>
        </w:r>
        <w:r>
          <w:rPr>
            <w:noProof/>
            <w:webHidden/>
          </w:rPr>
          <w:fldChar w:fldCharType="end"/>
        </w:r>
      </w:hyperlink>
    </w:p>
    <w:p w14:paraId="1958B6E1" w14:textId="6EAFA210"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840" w:history="1">
        <w:r w:rsidRPr="00410CBE">
          <w:rPr>
            <w:rStyle w:val="Hyperlink"/>
            <w:noProof/>
          </w:rPr>
          <w:t>Recovery Phase</w:t>
        </w:r>
        <w:r>
          <w:rPr>
            <w:noProof/>
            <w:webHidden/>
          </w:rPr>
          <w:tab/>
        </w:r>
        <w:r>
          <w:rPr>
            <w:noProof/>
            <w:webHidden/>
          </w:rPr>
          <w:fldChar w:fldCharType="begin"/>
        </w:r>
        <w:r>
          <w:rPr>
            <w:noProof/>
            <w:webHidden/>
          </w:rPr>
          <w:instrText xml:space="preserve"> PAGEREF _Toc181885840 \h </w:instrText>
        </w:r>
        <w:r>
          <w:rPr>
            <w:noProof/>
            <w:webHidden/>
          </w:rPr>
        </w:r>
        <w:r>
          <w:rPr>
            <w:noProof/>
            <w:webHidden/>
          </w:rPr>
          <w:fldChar w:fldCharType="separate"/>
        </w:r>
        <w:r>
          <w:rPr>
            <w:noProof/>
            <w:webHidden/>
          </w:rPr>
          <w:t>99</w:t>
        </w:r>
        <w:r>
          <w:rPr>
            <w:noProof/>
            <w:webHidden/>
          </w:rPr>
          <w:fldChar w:fldCharType="end"/>
        </w:r>
      </w:hyperlink>
    </w:p>
    <w:p w14:paraId="7B6C8864" w14:textId="72EA7EB0"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41" w:history="1">
        <w:r w:rsidRPr="00410CBE">
          <w:rPr>
            <w:rStyle w:val="Hyperlink"/>
            <w:noProof/>
          </w:rPr>
          <w:t>18.</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Assessment of Damage, Reconstruction, and Improvement of Infrastructure</w:t>
        </w:r>
        <w:r>
          <w:rPr>
            <w:noProof/>
            <w:webHidden/>
          </w:rPr>
          <w:tab/>
        </w:r>
        <w:r>
          <w:rPr>
            <w:noProof/>
            <w:webHidden/>
          </w:rPr>
          <w:fldChar w:fldCharType="begin"/>
        </w:r>
        <w:r>
          <w:rPr>
            <w:noProof/>
            <w:webHidden/>
          </w:rPr>
          <w:instrText xml:space="preserve"> PAGEREF _Toc181885841 \h </w:instrText>
        </w:r>
        <w:r>
          <w:rPr>
            <w:noProof/>
            <w:webHidden/>
          </w:rPr>
        </w:r>
        <w:r>
          <w:rPr>
            <w:noProof/>
            <w:webHidden/>
          </w:rPr>
          <w:fldChar w:fldCharType="separate"/>
        </w:r>
        <w:r>
          <w:rPr>
            <w:noProof/>
            <w:webHidden/>
          </w:rPr>
          <w:t>99</w:t>
        </w:r>
        <w:r>
          <w:rPr>
            <w:noProof/>
            <w:webHidden/>
          </w:rPr>
          <w:fldChar w:fldCharType="end"/>
        </w:r>
      </w:hyperlink>
    </w:p>
    <w:p w14:paraId="0DB94D15" w14:textId="22F5EC0B" w:rsidR="00681DEA" w:rsidRDefault="00681DEA">
      <w:pPr>
        <w:pStyle w:val="TOC2"/>
        <w:rPr>
          <w:rFonts w:asciiTheme="minorHAnsi" w:eastAsiaTheme="minorEastAsia" w:hAnsiTheme="minorHAnsi" w:cstheme="minorBidi"/>
          <w:b w:val="0"/>
          <w:bCs w:val="0"/>
          <w:noProof/>
          <w:kern w:val="2"/>
          <w:sz w:val="24"/>
          <w:szCs w:val="24"/>
          <w:lang w:eastAsia="en-AU"/>
          <w14:ligatures w14:val="standardContextual"/>
        </w:rPr>
      </w:pPr>
      <w:hyperlink w:anchor="_Toc181885842" w:history="1">
        <w:r w:rsidRPr="00410CBE">
          <w:rPr>
            <w:rStyle w:val="Hyperlink"/>
            <w:noProof/>
          </w:rPr>
          <w:t>19.</w:t>
        </w:r>
        <w:r>
          <w:rPr>
            <w:rFonts w:asciiTheme="minorHAnsi" w:eastAsiaTheme="minorEastAsia" w:hAnsiTheme="minorHAnsi" w:cstheme="minorBidi"/>
            <w:b w:val="0"/>
            <w:bCs w:val="0"/>
            <w:noProof/>
            <w:kern w:val="2"/>
            <w:sz w:val="24"/>
            <w:szCs w:val="24"/>
            <w:lang w:eastAsia="en-AU"/>
            <w14:ligatures w14:val="standardContextual"/>
          </w:rPr>
          <w:tab/>
        </w:r>
        <w:r w:rsidRPr="00410CBE">
          <w:rPr>
            <w:rStyle w:val="Hyperlink"/>
            <w:noProof/>
          </w:rPr>
          <w:t>Recovery Activities Follow-up</w:t>
        </w:r>
        <w:r>
          <w:rPr>
            <w:noProof/>
            <w:webHidden/>
          </w:rPr>
          <w:tab/>
        </w:r>
        <w:r>
          <w:rPr>
            <w:noProof/>
            <w:webHidden/>
          </w:rPr>
          <w:fldChar w:fldCharType="begin"/>
        </w:r>
        <w:r>
          <w:rPr>
            <w:noProof/>
            <w:webHidden/>
          </w:rPr>
          <w:instrText xml:space="preserve"> PAGEREF _Toc181885842 \h </w:instrText>
        </w:r>
        <w:r>
          <w:rPr>
            <w:noProof/>
            <w:webHidden/>
          </w:rPr>
        </w:r>
        <w:r>
          <w:rPr>
            <w:noProof/>
            <w:webHidden/>
          </w:rPr>
          <w:fldChar w:fldCharType="separate"/>
        </w:r>
        <w:r>
          <w:rPr>
            <w:noProof/>
            <w:webHidden/>
          </w:rPr>
          <w:t>100</w:t>
        </w:r>
        <w:r>
          <w:rPr>
            <w:noProof/>
            <w:webHidden/>
          </w:rPr>
          <w:fldChar w:fldCharType="end"/>
        </w:r>
      </w:hyperlink>
    </w:p>
    <w:p w14:paraId="18CECFB6" w14:textId="21698602"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843" w:history="1">
        <w:r w:rsidRPr="00410CBE">
          <w:rPr>
            <w:rStyle w:val="Hyperlink"/>
            <w:noProof/>
          </w:rPr>
          <w:t>Annexes</w:t>
        </w:r>
        <w:r>
          <w:rPr>
            <w:noProof/>
            <w:webHidden/>
          </w:rPr>
          <w:tab/>
        </w:r>
        <w:r>
          <w:rPr>
            <w:noProof/>
            <w:webHidden/>
          </w:rPr>
          <w:fldChar w:fldCharType="begin"/>
        </w:r>
        <w:r>
          <w:rPr>
            <w:noProof/>
            <w:webHidden/>
          </w:rPr>
          <w:instrText xml:space="preserve"> PAGEREF _Toc181885843 \h </w:instrText>
        </w:r>
        <w:r>
          <w:rPr>
            <w:noProof/>
            <w:webHidden/>
          </w:rPr>
        </w:r>
        <w:r>
          <w:rPr>
            <w:noProof/>
            <w:webHidden/>
          </w:rPr>
          <w:fldChar w:fldCharType="separate"/>
        </w:r>
        <w:r>
          <w:rPr>
            <w:noProof/>
            <w:webHidden/>
          </w:rPr>
          <w:t>101</w:t>
        </w:r>
        <w:r>
          <w:rPr>
            <w:noProof/>
            <w:webHidden/>
          </w:rPr>
          <w:fldChar w:fldCharType="end"/>
        </w:r>
      </w:hyperlink>
    </w:p>
    <w:p w14:paraId="51032B9E" w14:textId="2F1E834A"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44" w:history="1">
        <w:r w:rsidRPr="00410CBE">
          <w:rPr>
            <w:rStyle w:val="Hyperlink"/>
            <w:noProof/>
          </w:rPr>
          <w:t>A1. Inventory of Telecom/ICT networks</w:t>
        </w:r>
        <w:r>
          <w:rPr>
            <w:noProof/>
            <w:webHidden/>
          </w:rPr>
          <w:tab/>
        </w:r>
        <w:r>
          <w:rPr>
            <w:noProof/>
            <w:webHidden/>
          </w:rPr>
          <w:fldChar w:fldCharType="begin"/>
        </w:r>
        <w:r>
          <w:rPr>
            <w:noProof/>
            <w:webHidden/>
          </w:rPr>
          <w:instrText xml:space="preserve"> PAGEREF _Toc181885844 \h </w:instrText>
        </w:r>
        <w:r>
          <w:rPr>
            <w:noProof/>
            <w:webHidden/>
          </w:rPr>
        </w:r>
        <w:r>
          <w:rPr>
            <w:noProof/>
            <w:webHidden/>
          </w:rPr>
          <w:fldChar w:fldCharType="separate"/>
        </w:r>
        <w:r>
          <w:rPr>
            <w:noProof/>
            <w:webHidden/>
          </w:rPr>
          <w:t>101</w:t>
        </w:r>
        <w:r>
          <w:rPr>
            <w:noProof/>
            <w:webHidden/>
          </w:rPr>
          <w:fldChar w:fldCharType="end"/>
        </w:r>
      </w:hyperlink>
    </w:p>
    <w:p w14:paraId="01AD3693" w14:textId="4081D2BF"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45" w:history="1">
        <w:r w:rsidRPr="00410CBE">
          <w:rPr>
            <w:rStyle w:val="Hyperlink"/>
            <w:noProof/>
          </w:rPr>
          <w:t>A2. Disaster Management Network</w:t>
        </w:r>
        <w:r>
          <w:rPr>
            <w:noProof/>
            <w:webHidden/>
          </w:rPr>
          <w:tab/>
        </w:r>
        <w:r>
          <w:rPr>
            <w:noProof/>
            <w:webHidden/>
          </w:rPr>
          <w:fldChar w:fldCharType="begin"/>
        </w:r>
        <w:r>
          <w:rPr>
            <w:noProof/>
            <w:webHidden/>
          </w:rPr>
          <w:instrText xml:space="preserve"> PAGEREF _Toc181885845 \h </w:instrText>
        </w:r>
        <w:r>
          <w:rPr>
            <w:noProof/>
            <w:webHidden/>
          </w:rPr>
        </w:r>
        <w:r>
          <w:rPr>
            <w:noProof/>
            <w:webHidden/>
          </w:rPr>
          <w:fldChar w:fldCharType="separate"/>
        </w:r>
        <w:r>
          <w:rPr>
            <w:noProof/>
            <w:webHidden/>
          </w:rPr>
          <w:t>103</w:t>
        </w:r>
        <w:r>
          <w:rPr>
            <w:noProof/>
            <w:webHidden/>
          </w:rPr>
          <w:fldChar w:fldCharType="end"/>
        </w:r>
      </w:hyperlink>
    </w:p>
    <w:p w14:paraId="6D1367A3" w14:textId="14BEBD80"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46" w:history="1">
        <w:r w:rsidRPr="00410CBE">
          <w:rPr>
            <w:rStyle w:val="Hyperlink"/>
            <w:noProof/>
          </w:rPr>
          <w:t>A3. Private Networks</w:t>
        </w:r>
        <w:r>
          <w:rPr>
            <w:noProof/>
            <w:webHidden/>
          </w:rPr>
          <w:tab/>
        </w:r>
        <w:r>
          <w:rPr>
            <w:noProof/>
            <w:webHidden/>
          </w:rPr>
          <w:fldChar w:fldCharType="begin"/>
        </w:r>
        <w:r>
          <w:rPr>
            <w:noProof/>
            <w:webHidden/>
          </w:rPr>
          <w:instrText xml:space="preserve"> PAGEREF _Toc181885846 \h </w:instrText>
        </w:r>
        <w:r>
          <w:rPr>
            <w:noProof/>
            <w:webHidden/>
          </w:rPr>
        </w:r>
        <w:r>
          <w:rPr>
            <w:noProof/>
            <w:webHidden/>
          </w:rPr>
          <w:fldChar w:fldCharType="separate"/>
        </w:r>
        <w:r>
          <w:rPr>
            <w:noProof/>
            <w:webHidden/>
          </w:rPr>
          <w:t>103</w:t>
        </w:r>
        <w:r>
          <w:rPr>
            <w:noProof/>
            <w:webHidden/>
          </w:rPr>
          <w:fldChar w:fldCharType="end"/>
        </w:r>
      </w:hyperlink>
    </w:p>
    <w:p w14:paraId="1C7BC7F0" w14:textId="4C0BC680"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47" w:history="1">
        <w:r w:rsidRPr="00410CBE">
          <w:rPr>
            <w:rStyle w:val="Hyperlink"/>
            <w:noProof/>
          </w:rPr>
          <w:t>A4. Contact Information</w:t>
        </w:r>
        <w:r>
          <w:rPr>
            <w:noProof/>
            <w:webHidden/>
          </w:rPr>
          <w:tab/>
        </w:r>
        <w:r>
          <w:rPr>
            <w:noProof/>
            <w:webHidden/>
          </w:rPr>
          <w:fldChar w:fldCharType="begin"/>
        </w:r>
        <w:r>
          <w:rPr>
            <w:noProof/>
            <w:webHidden/>
          </w:rPr>
          <w:instrText xml:space="preserve"> PAGEREF _Toc181885847 \h </w:instrText>
        </w:r>
        <w:r>
          <w:rPr>
            <w:noProof/>
            <w:webHidden/>
          </w:rPr>
        </w:r>
        <w:r>
          <w:rPr>
            <w:noProof/>
            <w:webHidden/>
          </w:rPr>
          <w:fldChar w:fldCharType="separate"/>
        </w:r>
        <w:r>
          <w:rPr>
            <w:noProof/>
            <w:webHidden/>
          </w:rPr>
          <w:t>103</w:t>
        </w:r>
        <w:r>
          <w:rPr>
            <w:noProof/>
            <w:webHidden/>
          </w:rPr>
          <w:fldChar w:fldCharType="end"/>
        </w:r>
      </w:hyperlink>
    </w:p>
    <w:p w14:paraId="53B205FF" w14:textId="263453F1"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48" w:history="1">
        <w:r w:rsidRPr="00410CBE">
          <w:rPr>
            <w:rStyle w:val="Hyperlink"/>
            <w:noProof/>
          </w:rPr>
          <w:t>A5. International Support</w:t>
        </w:r>
        <w:r>
          <w:rPr>
            <w:noProof/>
            <w:webHidden/>
          </w:rPr>
          <w:tab/>
        </w:r>
        <w:r>
          <w:rPr>
            <w:noProof/>
            <w:webHidden/>
          </w:rPr>
          <w:fldChar w:fldCharType="begin"/>
        </w:r>
        <w:r>
          <w:rPr>
            <w:noProof/>
            <w:webHidden/>
          </w:rPr>
          <w:instrText xml:space="preserve"> PAGEREF _Toc181885848 \h </w:instrText>
        </w:r>
        <w:r>
          <w:rPr>
            <w:noProof/>
            <w:webHidden/>
          </w:rPr>
        </w:r>
        <w:r>
          <w:rPr>
            <w:noProof/>
            <w:webHidden/>
          </w:rPr>
          <w:fldChar w:fldCharType="separate"/>
        </w:r>
        <w:r>
          <w:rPr>
            <w:noProof/>
            <w:webHidden/>
          </w:rPr>
          <w:t>103</w:t>
        </w:r>
        <w:r>
          <w:rPr>
            <w:noProof/>
            <w:webHidden/>
          </w:rPr>
          <w:fldChar w:fldCharType="end"/>
        </w:r>
      </w:hyperlink>
    </w:p>
    <w:p w14:paraId="6F9CF03C" w14:textId="610DE884"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49" w:history="1">
        <w:r w:rsidRPr="00410CBE">
          <w:rPr>
            <w:rStyle w:val="Hyperlink"/>
            <w:noProof/>
          </w:rPr>
          <w:t>A6. Standard Operating Procedures</w:t>
        </w:r>
        <w:r>
          <w:rPr>
            <w:noProof/>
            <w:webHidden/>
          </w:rPr>
          <w:tab/>
        </w:r>
        <w:r>
          <w:rPr>
            <w:noProof/>
            <w:webHidden/>
          </w:rPr>
          <w:fldChar w:fldCharType="begin"/>
        </w:r>
        <w:r>
          <w:rPr>
            <w:noProof/>
            <w:webHidden/>
          </w:rPr>
          <w:instrText xml:space="preserve"> PAGEREF _Toc181885849 \h </w:instrText>
        </w:r>
        <w:r>
          <w:rPr>
            <w:noProof/>
            <w:webHidden/>
          </w:rPr>
        </w:r>
        <w:r>
          <w:rPr>
            <w:noProof/>
            <w:webHidden/>
          </w:rPr>
          <w:fldChar w:fldCharType="separate"/>
        </w:r>
        <w:r>
          <w:rPr>
            <w:noProof/>
            <w:webHidden/>
          </w:rPr>
          <w:t>103</w:t>
        </w:r>
        <w:r>
          <w:rPr>
            <w:noProof/>
            <w:webHidden/>
          </w:rPr>
          <w:fldChar w:fldCharType="end"/>
        </w:r>
      </w:hyperlink>
    </w:p>
    <w:p w14:paraId="72B91D83" w14:textId="35D956EF"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50" w:history="1">
        <w:r w:rsidRPr="00410CBE">
          <w:rPr>
            <w:rStyle w:val="Hyperlink"/>
            <w:noProof/>
          </w:rPr>
          <w:t>A7. Contingency Plans</w:t>
        </w:r>
        <w:r>
          <w:rPr>
            <w:noProof/>
            <w:webHidden/>
          </w:rPr>
          <w:tab/>
        </w:r>
        <w:r>
          <w:rPr>
            <w:noProof/>
            <w:webHidden/>
          </w:rPr>
          <w:fldChar w:fldCharType="begin"/>
        </w:r>
        <w:r>
          <w:rPr>
            <w:noProof/>
            <w:webHidden/>
          </w:rPr>
          <w:instrText xml:space="preserve"> PAGEREF _Toc181885850 \h </w:instrText>
        </w:r>
        <w:r>
          <w:rPr>
            <w:noProof/>
            <w:webHidden/>
          </w:rPr>
        </w:r>
        <w:r>
          <w:rPr>
            <w:noProof/>
            <w:webHidden/>
          </w:rPr>
          <w:fldChar w:fldCharType="separate"/>
        </w:r>
        <w:r>
          <w:rPr>
            <w:noProof/>
            <w:webHidden/>
          </w:rPr>
          <w:t>104</w:t>
        </w:r>
        <w:r>
          <w:rPr>
            <w:noProof/>
            <w:webHidden/>
          </w:rPr>
          <w:fldChar w:fldCharType="end"/>
        </w:r>
      </w:hyperlink>
    </w:p>
    <w:p w14:paraId="42AE2433" w14:textId="2A3744A6" w:rsidR="00681DEA" w:rsidRDefault="00681DEA">
      <w:pPr>
        <w:pStyle w:val="TOC3"/>
        <w:rPr>
          <w:rFonts w:asciiTheme="minorHAnsi" w:eastAsiaTheme="minorEastAsia" w:hAnsiTheme="minorHAnsi" w:cstheme="minorBidi"/>
          <w:noProof/>
          <w:kern w:val="2"/>
          <w:sz w:val="24"/>
          <w:szCs w:val="24"/>
          <w:lang w:eastAsia="en-AU"/>
          <w14:ligatures w14:val="standardContextual"/>
        </w:rPr>
      </w:pPr>
      <w:hyperlink w:anchor="_Toc181885851" w:history="1">
        <w:r w:rsidRPr="00410CBE">
          <w:rPr>
            <w:rStyle w:val="Hyperlink"/>
            <w:noProof/>
          </w:rPr>
          <w:t>B1. A Simplified Guide to Using the NETP</w:t>
        </w:r>
        <w:r>
          <w:rPr>
            <w:noProof/>
            <w:webHidden/>
          </w:rPr>
          <w:tab/>
        </w:r>
        <w:r>
          <w:rPr>
            <w:noProof/>
            <w:webHidden/>
          </w:rPr>
          <w:fldChar w:fldCharType="begin"/>
        </w:r>
        <w:r>
          <w:rPr>
            <w:noProof/>
            <w:webHidden/>
          </w:rPr>
          <w:instrText xml:space="preserve"> PAGEREF _Toc181885851 \h </w:instrText>
        </w:r>
        <w:r>
          <w:rPr>
            <w:noProof/>
            <w:webHidden/>
          </w:rPr>
        </w:r>
        <w:r>
          <w:rPr>
            <w:noProof/>
            <w:webHidden/>
          </w:rPr>
          <w:fldChar w:fldCharType="separate"/>
        </w:r>
        <w:r>
          <w:rPr>
            <w:noProof/>
            <w:webHidden/>
          </w:rPr>
          <w:t>105</w:t>
        </w:r>
        <w:r>
          <w:rPr>
            <w:noProof/>
            <w:webHidden/>
          </w:rPr>
          <w:fldChar w:fldCharType="end"/>
        </w:r>
      </w:hyperlink>
    </w:p>
    <w:p w14:paraId="2DAF8AE0" w14:textId="74A8B4DF"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852" w:history="1">
        <w:r w:rsidRPr="00410CBE">
          <w:rPr>
            <w:rStyle w:val="Hyperlink"/>
            <w:noProof/>
          </w:rPr>
          <w:t>Acronyms</w:t>
        </w:r>
        <w:r>
          <w:rPr>
            <w:noProof/>
            <w:webHidden/>
          </w:rPr>
          <w:tab/>
        </w:r>
        <w:r>
          <w:rPr>
            <w:noProof/>
            <w:webHidden/>
          </w:rPr>
          <w:fldChar w:fldCharType="begin"/>
        </w:r>
        <w:r>
          <w:rPr>
            <w:noProof/>
            <w:webHidden/>
          </w:rPr>
          <w:instrText xml:space="preserve"> PAGEREF _Toc181885852 \h </w:instrText>
        </w:r>
        <w:r>
          <w:rPr>
            <w:noProof/>
            <w:webHidden/>
          </w:rPr>
        </w:r>
        <w:r>
          <w:rPr>
            <w:noProof/>
            <w:webHidden/>
          </w:rPr>
          <w:fldChar w:fldCharType="separate"/>
        </w:r>
        <w:r>
          <w:rPr>
            <w:noProof/>
            <w:webHidden/>
          </w:rPr>
          <w:t>107</w:t>
        </w:r>
        <w:r>
          <w:rPr>
            <w:noProof/>
            <w:webHidden/>
          </w:rPr>
          <w:fldChar w:fldCharType="end"/>
        </w:r>
      </w:hyperlink>
    </w:p>
    <w:p w14:paraId="426F7EC1" w14:textId="3C7130A5" w:rsidR="00681DEA" w:rsidRDefault="00681DEA">
      <w:pPr>
        <w:pStyle w:val="TOC1"/>
        <w:rPr>
          <w:rFonts w:asciiTheme="minorHAnsi" w:eastAsiaTheme="minorEastAsia" w:hAnsiTheme="minorHAnsi" w:cstheme="minorBidi"/>
          <w:b w:val="0"/>
          <w:bCs w:val="0"/>
          <w:i w:val="0"/>
          <w:iCs w:val="0"/>
          <w:noProof/>
          <w:kern w:val="2"/>
          <w:lang w:eastAsia="en-AU"/>
          <w14:ligatures w14:val="standardContextual"/>
        </w:rPr>
      </w:pPr>
      <w:hyperlink w:anchor="_Toc181885853" w:history="1">
        <w:r w:rsidRPr="00410CBE">
          <w:rPr>
            <w:rStyle w:val="Hyperlink"/>
            <w:noProof/>
          </w:rPr>
          <w:t>References</w:t>
        </w:r>
        <w:r>
          <w:rPr>
            <w:noProof/>
            <w:webHidden/>
          </w:rPr>
          <w:tab/>
        </w:r>
        <w:r>
          <w:rPr>
            <w:noProof/>
            <w:webHidden/>
          </w:rPr>
          <w:fldChar w:fldCharType="begin"/>
        </w:r>
        <w:r>
          <w:rPr>
            <w:noProof/>
            <w:webHidden/>
          </w:rPr>
          <w:instrText xml:space="preserve"> PAGEREF _Toc181885853 \h </w:instrText>
        </w:r>
        <w:r>
          <w:rPr>
            <w:noProof/>
            <w:webHidden/>
          </w:rPr>
        </w:r>
        <w:r>
          <w:rPr>
            <w:noProof/>
            <w:webHidden/>
          </w:rPr>
          <w:fldChar w:fldCharType="separate"/>
        </w:r>
        <w:r>
          <w:rPr>
            <w:noProof/>
            <w:webHidden/>
          </w:rPr>
          <w:t>110</w:t>
        </w:r>
        <w:r>
          <w:rPr>
            <w:noProof/>
            <w:webHidden/>
          </w:rPr>
          <w:fldChar w:fldCharType="end"/>
        </w:r>
      </w:hyperlink>
    </w:p>
    <w:p w14:paraId="74EBF61B" w14:textId="4A5E819D" w:rsidR="005E51AB" w:rsidRPr="00DE1BD4" w:rsidRDefault="005E51AB">
      <w:pPr>
        <w:jc w:val="left"/>
        <w:rPr>
          <w:color w:val="2F5496"/>
          <w:sz w:val="38"/>
        </w:rPr>
      </w:pPr>
      <w:r w:rsidRPr="00DE1BD4">
        <w:fldChar w:fldCharType="end"/>
      </w:r>
      <w:r w:rsidRPr="00DE1BD4">
        <w:br w:type="page"/>
      </w:r>
    </w:p>
    <w:p w14:paraId="1F386B11" w14:textId="55A9FA16" w:rsidR="00F46E5E" w:rsidRPr="0005048C" w:rsidRDefault="00F46E5E" w:rsidP="0005048C">
      <w:pPr>
        <w:jc w:val="center"/>
        <w:rPr>
          <w:b/>
          <w:bCs/>
          <w:color w:val="0070C0"/>
          <w:sz w:val="36"/>
          <w:szCs w:val="36"/>
        </w:rPr>
      </w:pPr>
      <w:r w:rsidRPr="0005048C">
        <w:rPr>
          <w:b/>
          <w:bCs/>
          <w:color w:val="0070C0"/>
          <w:sz w:val="36"/>
          <w:szCs w:val="36"/>
        </w:rPr>
        <w:t>List of Tables</w:t>
      </w:r>
      <w:bookmarkEnd w:id="0"/>
      <w:bookmarkEnd w:id="1"/>
      <w:bookmarkEnd w:id="2"/>
    </w:p>
    <w:bookmarkStart w:id="3" w:name="_Toc91185473"/>
    <w:bookmarkStart w:id="4" w:name="_Toc90825793"/>
    <w:bookmarkStart w:id="5" w:name="_Toc90825936"/>
    <w:p w14:paraId="78526D48" w14:textId="3ADF6A14" w:rsidR="00681DEA" w:rsidRDefault="00147C11">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r w:rsidRPr="00DE1BD4">
        <w:rPr>
          <w:color w:val="2F5496"/>
          <w:sz w:val="32"/>
        </w:rPr>
        <w:fldChar w:fldCharType="begin"/>
      </w:r>
      <w:r w:rsidRPr="00DE1BD4">
        <w:rPr>
          <w:sz w:val="32"/>
        </w:rPr>
        <w:instrText xml:space="preserve"> TOC \h \z \c "Table" </w:instrText>
      </w:r>
      <w:r w:rsidRPr="00DE1BD4">
        <w:rPr>
          <w:color w:val="2F5496"/>
          <w:sz w:val="32"/>
        </w:rPr>
        <w:fldChar w:fldCharType="separate"/>
      </w:r>
      <w:hyperlink w:anchor="_Toc181885854" w:history="1">
        <w:r w:rsidR="00681DEA" w:rsidRPr="00732A80">
          <w:rPr>
            <w:rStyle w:val="Hyperlink"/>
            <w:noProof/>
          </w:rPr>
          <w:t>Table 1 - Implementation Matrix</w:t>
        </w:r>
        <w:r w:rsidR="00681DEA">
          <w:rPr>
            <w:noProof/>
            <w:webHidden/>
          </w:rPr>
          <w:tab/>
        </w:r>
        <w:r w:rsidR="00681DEA">
          <w:rPr>
            <w:noProof/>
            <w:webHidden/>
          </w:rPr>
          <w:fldChar w:fldCharType="begin"/>
        </w:r>
        <w:r w:rsidR="00681DEA">
          <w:rPr>
            <w:noProof/>
            <w:webHidden/>
          </w:rPr>
          <w:instrText xml:space="preserve"> PAGEREF _Toc181885854 \h </w:instrText>
        </w:r>
        <w:r w:rsidR="00681DEA">
          <w:rPr>
            <w:noProof/>
            <w:webHidden/>
          </w:rPr>
        </w:r>
        <w:r w:rsidR="00681DEA">
          <w:rPr>
            <w:noProof/>
            <w:webHidden/>
          </w:rPr>
          <w:fldChar w:fldCharType="separate"/>
        </w:r>
        <w:r w:rsidR="00681DEA">
          <w:rPr>
            <w:noProof/>
            <w:webHidden/>
          </w:rPr>
          <w:t>18</w:t>
        </w:r>
        <w:r w:rsidR="00681DEA">
          <w:rPr>
            <w:noProof/>
            <w:webHidden/>
          </w:rPr>
          <w:fldChar w:fldCharType="end"/>
        </w:r>
      </w:hyperlink>
    </w:p>
    <w:p w14:paraId="0D3766CF" w14:textId="3E188A79"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55" w:history="1">
        <w:r w:rsidRPr="00732A80">
          <w:rPr>
            <w:rStyle w:val="Hyperlink"/>
            <w:noProof/>
          </w:rPr>
          <w:t>Table 2 – The Gambia Sector Structure</w:t>
        </w:r>
        <w:r>
          <w:rPr>
            <w:noProof/>
            <w:webHidden/>
          </w:rPr>
          <w:tab/>
        </w:r>
        <w:r>
          <w:rPr>
            <w:noProof/>
            <w:webHidden/>
          </w:rPr>
          <w:fldChar w:fldCharType="begin"/>
        </w:r>
        <w:r>
          <w:rPr>
            <w:noProof/>
            <w:webHidden/>
          </w:rPr>
          <w:instrText xml:space="preserve"> PAGEREF _Toc181885855 \h </w:instrText>
        </w:r>
        <w:r>
          <w:rPr>
            <w:noProof/>
            <w:webHidden/>
          </w:rPr>
        </w:r>
        <w:r>
          <w:rPr>
            <w:noProof/>
            <w:webHidden/>
          </w:rPr>
          <w:fldChar w:fldCharType="separate"/>
        </w:r>
        <w:r>
          <w:rPr>
            <w:noProof/>
            <w:webHidden/>
          </w:rPr>
          <w:t>44</w:t>
        </w:r>
        <w:r>
          <w:rPr>
            <w:noProof/>
            <w:webHidden/>
          </w:rPr>
          <w:fldChar w:fldCharType="end"/>
        </w:r>
      </w:hyperlink>
    </w:p>
    <w:p w14:paraId="216FCC39" w14:textId="1FE69E55"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56" w:history="1">
        <w:r w:rsidRPr="00732A80">
          <w:rPr>
            <w:rStyle w:val="Hyperlink"/>
            <w:noProof/>
          </w:rPr>
          <w:t>Table 3 – Natural Disaster in The Gambia 1920 - 2024</w:t>
        </w:r>
        <w:r>
          <w:rPr>
            <w:noProof/>
            <w:webHidden/>
          </w:rPr>
          <w:tab/>
        </w:r>
        <w:r>
          <w:rPr>
            <w:noProof/>
            <w:webHidden/>
          </w:rPr>
          <w:fldChar w:fldCharType="begin"/>
        </w:r>
        <w:r>
          <w:rPr>
            <w:noProof/>
            <w:webHidden/>
          </w:rPr>
          <w:instrText xml:space="preserve"> PAGEREF _Toc181885856 \h </w:instrText>
        </w:r>
        <w:r>
          <w:rPr>
            <w:noProof/>
            <w:webHidden/>
          </w:rPr>
        </w:r>
        <w:r>
          <w:rPr>
            <w:noProof/>
            <w:webHidden/>
          </w:rPr>
          <w:fldChar w:fldCharType="separate"/>
        </w:r>
        <w:r>
          <w:rPr>
            <w:noProof/>
            <w:webHidden/>
          </w:rPr>
          <w:t>50</w:t>
        </w:r>
        <w:r>
          <w:rPr>
            <w:noProof/>
            <w:webHidden/>
          </w:rPr>
          <w:fldChar w:fldCharType="end"/>
        </w:r>
      </w:hyperlink>
    </w:p>
    <w:p w14:paraId="58FA62F3" w14:textId="7AB73DC1"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57" w:history="1">
        <w:r w:rsidRPr="00732A80">
          <w:rPr>
            <w:rStyle w:val="Hyperlink"/>
            <w:noProof/>
          </w:rPr>
          <w:t>Table 4 - Hazard Effects on Telecommunications Infrastructure</w:t>
        </w:r>
        <w:r>
          <w:rPr>
            <w:noProof/>
            <w:webHidden/>
          </w:rPr>
          <w:tab/>
        </w:r>
        <w:r>
          <w:rPr>
            <w:noProof/>
            <w:webHidden/>
          </w:rPr>
          <w:fldChar w:fldCharType="begin"/>
        </w:r>
        <w:r>
          <w:rPr>
            <w:noProof/>
            <w:webHidden/>
          </w:rPr>
          <w:instrText xml:space="preserve"> PAGEREF _Toc181885857 \h </w:instrText>
        </w:r>
        <w:r>
          <w:rPr>
            <w:noProof/>
            <w:webHidden/>
          </w:rPr>
        </w:r>
        <w:r>
          <w:rPr>
            <w:noProof/>
            <w:webHidden/>
          </w:rPr>
          <w:fldChar w:fldCharType="separate"/>
        </w:r>
        <w:r>
          <w:rPr>
            <w:noProof/>
            <w:webHidden/>
          </w:rPr>
          <w:t>53</w:t>
        </w:r>
        <w:r>
          <w:rPr>
            <w:noProof/>
            <w:webHidden/>
          </w:rPr>
          <w:fldChar w:fldCharType="end"/>
        </w:r>
      </w:hyperlink>
    </w:p>
    <w:p w14:paraId="18B2DF9E" w14:textId="5EBEC0CF"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58" w:history="1">
        <w:r w:rsidRPr="00732A80">
          <w:rPr>
            <w:rStyle w:val="Hyperlink"/>
            <w:noProof/>
          </w:rPr>
          <w:t>Table 5 – The Gambia Telecom Statistics</w:t>
        </w:r>
        <w:r>
          <w:rPr>
            <w:noProof/>
            <w:webHidden/>
          </w:rPr>
          <w:tab/>
        </w:r>
        <w:r>
          <w:rPr>
            <w:noProof/>
            <w:webHidden/>
          </w:rPr>
          <w:fldChar w:fldCharType="begin"/>
        </w:r>
        <w:r>
          <w:rPr>
            <w:noProof/>
            <w:webHidden/>
          </w:rPr>
          <w:instrText xml:space="preserve"> PAGEREF _Toc181885858 \h </w:instrText>
        </w:r>
        <w:r>
          <w:rPr>
            <w:noProof/>
            <w:webHidden/>
          </w:rPr>
        </w:r>
        <w:r>
          <w:rPr>
            <w:noProof/>
            <w:webHidden/>
          </w:rPr>
          <w:fldChar w:fldCharType="separate"/>
        </w:r>
        <w:r>
          <w:rPr>
            <w:noProof/>
            <w:webHidden/>
          </w:rPr>
          <w:t>55</w:t>
        </w:r>
        <w:r>
          <w:rPr>
            <w:noProof/>
            <w:webHidden/>
          </w:rPr>
          <w:fldChar w:fldCharType="end"/>
        </w:r>
      </w:hyperlink>
    </w:p>
    <w:p w14:paraId="213973FC" w14:textId="0772AD0E"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59" w:history="1">
        <w:r w:rsidRPr="00732A80">
          <w:rPr>
            <w:rStyle w:val="Hyperlink"/>
            <w:noProof/>
          </w:rPr>
          <w:t>Table 6 - Frequency Bands Adopted for PPDR</w:t>
        </w:r>
        <w:r>
          <w:rPr>
            <w:noProof/>
            <w:webHidden/>
          </w:rPr>
          <w:tab/>
        </w:r>
        <w:r>
          <w:rPr>
            <w:noProof/>
            <w:webHidden/>
          </w:rPr>
          <w:fldChar w:fldCharType="begin"/>
        </w:r>
        <w:r>
          <w:rPr>
            <w:noProof/>
            <w:webHidden/>
          </w:rPr>
          <w:instrText xml:space="preserve"> PAGEREF _Toc181885859 \h </w:instrText>
        </w:r>
        <w:r>
          <w:rPr>
            <w:noProof/>
            <w:webHidden/>
          </w:rPr>
        </w:r>
        <w:r>
          <w:rPr>
            <w:noProof/>
            <w:webHidden/>
          </w:rPr>
          <w:fldChar w:fldCharType="separate"/>
        </w:r>
        <w:r>
          <w:rPr>
            <w:noProof/>
            <w:webHidden/>
          </w:rPr>
          <w:t>68</w:t>
        </w:r>
        <w:r>
          <w:rPr>
            <w:noProof/>
            <w:webHidden/>
          </w:rPr>
          <w:fldChar w:fldCharType="end"/>
        </w:r>
      </w:hyperlink>
    </w:p>
    <w:p w14:paraId="34235E3E" w14:textId="7F112C58"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0" w:history="1">
        <w:r w:rsidRPr="00732A80">
          <w:rPr>
            <w:rStyle w:val="Hyperlink"/>
            <w:noProof/>
          </w:rPr>
          <w:t>Table 7 – Emergency Frequency Allocation</w:t>
        </w:r>
        <w:r>
          <w:rPr>
            <w:noProof/>
            <w:webHidden/>
          </w:rPr>
          <w:tab/>
        </w:r>
        <w:r>
          <w:rPr>
            <w:noProof/>
            <w:webHidden/>
          </w:rPr>
          <w:fldChar w:fldCharType="begin"/>
        </w:r>
        <w:r>
          <w:rPr>
            <w:noProof/>
            <w:webHidden/>
          </w:rPr>
          <w:instrText xml:space="preserve"> PAGEREF _Toc181885860 \h </w:instrText>
        </w:r>
        <w:r>
          <w:rPr>
            <w:noProof/>
            <w:webHidden/>
          </w:rPr>
        </w:r>
        <w:r>
          <w:rPr>
            <w:noProof/>
            <w:webHidden/>
          </w:rPr>
          <w:fldChar w:fldCharType="separate"/>
        </w:r>
        <w:r>
          <w:rPr>
            <w:noProof/>
            <w:webHidden/>
          </w:rPr>
          <w:t>68</w:t>
        </w:r>
        <w:r>
          <w:rPr>
            <w:noProof/>
            <w:webHidden/>
          </w:rPr>
          <w:fldChar w:fldCharType="end"/>
        </w:r>
      </w:hyperlink>
    </w:p>
    <w:p w14:paraId="4BE3463E" w14:textId="3DDA2927"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1" w:history="1">
        <w:r w:rsidRPr="00732A80">
          <w:rPr>
            <w:rStyle w:val="Hyperlink"/>
            <w:noProof/>
          </w:rPr>
          <w:t>Table 8 - Humanitarian Networks</w:t>
        </w:r>
        <w:r>
          <w:rPr>
            <w:noProof/>
            <w:webHidden/>
          </w:rPr>
          <w:tab/>
        </w:r>
        <w:r>
          <w:rPr>
            <w:noProof/>
            <w:webHidden/>
          </w:rPr>
          <w:fldChar w:fldCharType="begin"/>
        </w:r>
        <w:r>
          <w:rPr>
            <w:noProof/>
            <w:webHidden/>
          </w:rPr>
          <w:instrText xml:space="preserve"> PAGEREF _Toc181885861 \h </w:instrText>
        </w:r>
        <w:r>
          <w:rPr>
            <w:noProof/>
            <w:webHidden/>
          </w:rPr>
        </w:r>
        <w:r>
          <w:rPr>
            <w:noProof/>
            <w:webHidden/>
          </w:rPr>
          <w:fldChar w:fldCharType="separate"/>
        </w:r>
        <w:r>
          <w:rPr>
            <w:noProof/>
            <w:webHidden/>
          </w:rPr>
          <w:t>70</w:t>
        </w:r>
        <w:r>
          <w:rPr>
            <w:noProof/>
            <w:webHidden/>
          </w:rPr>
          <w:fldChar w:fldCharType="end"/>
        </w:r>
      </w:hyperlink>
    </w:p>
    <w:p w14:paraId="690A8A91" w14:textId="20ABAC5C"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2" w:history="1">
        <w:r w:rsidRPr="00732A80">
          <w:rPr>
            <w:rStyle w:val="Hyperlink"/>
            <w:noProof/>
          </w:rPr>
          <w:t>Table 9 - Summary of CB/LB-SMS characteristics</w:t>
        </w:r>
        <w:r>
          <w:rPr>
            <w:noProof/>
            <w:webHidden/>
          </w:rPr>
          <w:tab/>
        </w:r>
        <w:r>
          <w:rPr>
            <w:noProof/>
            <w:webHidden/>
          </w:rPr>
          <w:fldChar w:fldCharType="begin"/>
        </w:r>
        <w:r>
          <w:rPr>
            <w:noProof/>
            <w:webHidden/>
          </w:rPr>
          <w:instrText xml:space="preserve"> PAGEREF _Toc181885862 \h </w:instrText>
        </w:r>
        <w:r>
          <w:rPr>
            <w:noProof/>
            <w:webHidden/>
          </w:rPr>
        </w:r>
        <w:r>
          <w:rPr>
            <w:noProof/>
            <w:webHidden/>
          </w:rPr>
          <w:fldChar w:fldCharType="separate"/>
        </w:r>
        <w:r>
          <w:rPr>
            <w:noProof/>
            <w:webHidden/>
          </w:rPr>
          <w:t>85</w:t>
        </w:r>
        <w:r>
          <w:rPr>
            <w:noProof/>
            <w:webHidden/>
          </w:rPr>
          <w:fldChar w:fldCharType="end"/>
        </w:r>
      </w:hyperlink>
    </w:p>
    <w:p w14:paraId="2FA58B81" w14:textId="5472D8E8" w:rsidR="0005048C" w:rsidRDefault="00147C11" w:rsidP="0005048C">
      <w:r w:rsidRPr="00DE1BD4">
        <w:fldChar w:fldCharType="end"/>
      </w:r>
    </w:p>
    <w:p w14:paraId="3A77F967" w14:textId="77777777" w:rsidR="00681DEA" w:rsidRDefault="00390861" w:rsidP="0005048C">
      <w:pPr>
        <w:jc w:val="center"/>
        <w:rPr>
          <w:noProof/>
        </w:rPr>
      </w:pPr>
      <w:r w:rsidRPr="0005048C">
        <w:rPr>
          <w:b/>
          <w:bCs/>
          <w:color w:val="0070C0"/>
          <w:sz w:val="36"/>
          <w:szCs w:val="36"/>
        </w:rPr>
        <w:t>List of Figures</w:t>
      </w:r>
      <w:bookmarkEnd w:id="3"/>
      <w:r w:rsidR="005A2E30" w:rsidRPr="00DE1BD4">
        <w:rPr>
          <w:b/>
          <w:bCs/>
          <w:sz w:val="36"/>
          <w:szCs w:val="36"/>
        </w:rPr>
        <w:fldChar w:fldCharType="begin"/>
      </w:r>
      <w:r w:rsidR="005A2E30" w:rsidRPr="0005048C">
        <w:rPr>
          <w:b/>
          <w:bCs/>
          <w:sz w:val="36"/>
          <w:szCs w:val="36"/>
        </w:rPr>
        <w:instrText xml:space="preserve"> TOC \h \z \c "Figure" </w:instrText>
      </w:r>
      <w:r w:rsidR="005A2E30" w:rsidRPr="00DE1BD4">
        <w:rPr>
          <w:b/>
          <w:bCs/>
          <w:sz w:val="36"/>
          <w:szCs w:val="36"/>
        </w:rPr>
        <w:fldChar w:fldCharType="separate"/>
      </w:r>
    </w:p>
    <w:p w14:paraId="67E78AE8" w14:textId="1C1CC3A2"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3" w:history="1">
        <w:r w:rsidRPr="00791771">
          <w:rPr>
            <w:rStyle w:val="Hyperlink"/>
            <w:noProof/>
          </w:rPr>
          <w:t>Figure 1 - Phases of Disaster Risk Management</w:t>
        </w:r>
        <w:r>
          <w:rPr>
            <w:noProof/>
            <w:webHidden/>
          </w:rPr>
          <w:tab/>
        </w:r>
        <w:r>
          <w:rPr>
            <w:noProof/>
            <w:webHidden/>
          </w:rPr>
          <w:fldChar w:fldCharType="begin"/>
        </w:r>
        <w:r>
          <w:rPr>
            <w:noProof/>
            <w:webHidden/>
          </w:rPr>
          <w:instrText xml:space="preserve"> PAGEREF _Toc181885863 \h </w:instrText>
        </w:r>
        <w:r>
          <w:rPr>
            <w:noProof/>
            <w:webHidden/>
          </w:rPr>
        </w:r>
        <w:r>
          <w:rPr>
            <w:noProof/>
            <w:webHidden/>
          </w:rPr>
          <w:fldChar w:fldCharType="separate"/>
        </w:r>
        <w:r>
          <w:rPr>
            <w:noProof/>
            <w:webHidden/>
          </w:rPr>
          <w:t>26</w:t>
        </w:r>
        <w:r>
          <w:rPr>
            <w:noProof/>
            <w:webHidden/>
          </w:rPr>
          <w:fldChar w:fldCharType="end"/>
        </w:r>
      </w:hyperlink>
    </w:p>
    <w:p w14:paraId="38C8D999" w14:textId="799B87BC"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4" w:history="1">
        <w:r w:rsidRPr="00791771">
          <w:rPr>
            <w:rStyle w:val="Hyperlink"/>
            <w:noProof/>
          </w:rPr>
          <w:t>Figure 2 - Pillars of the EW4ALL Initiative</w:t>
        </w:r>
        <w:r>
          <w:rPr>
            <w:noProof/>
            <w:webHidden/>
          </w:rPr>
          <w:tab/>
        </w:r>
        <w:r>
          <w:rPr>
            <w:noProof/>
            <w:webHidden/>
          </w:rPr>
          <w:fldChar w:fldCharType="begin"/>
        </w:r>
        <w:r>
          <w:rPr>
            <w:noProof/>
            <w:webHidden/>
          </w:rPr>
          <w:instrText xml:space="preserve"> PAGEREF _Toc181885864 \h </w:instrText>
        </w:r>
        <w:r>
          <w:rPr>
            <w:noProof/>
            <w:webHidden/>
          </w:rPr>
        </w:r>
        <w:r>
          <w:rPr>
            <w:noProof/>
            <w:webHidden/>
          </w:rPr>
          <w:fldChar w:fldCharType="separate"/>
        </w:r>
        <w:r>
          <w:rPr>
            <w:noProof/>
            <w:webHidden/>
          </w:rPr>
          <w:t>30</w:t>
        </w:r>
        <w:r>
          <w:rPr>
            <w:noProof/>
            <w:webHidden/>
          </w:rPr>
          <w:fldChar w:fldCharType="end"/>
        </w:r>
      </w:hyperlink>
    </w:p>
    <w:p w14:paraId="0C508AF7" w14:textId="79598696"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5" w:history="1">
        <w:r w:rsidRPr="00791771">
          <w:rPr>
            <w:rStyle w:val="Hyperlink"/>
            <w:noProof/>
          </w:rPr>
          <w:t>Figure 3 - The Gambia Disaster Management Framework</w:t>
        </w:r>
        <w:r>
          <w:rPr>
            <w:noProof/>
            <w:webHidden/>
          </w:rPr>
          <w:tab/>
        </w:r>
        <w:r>
          <w:rPr>
            <w:noProof/>
            <w:webHidden/>
          </w:rPr>
          <w:fldChar w:fldCharType="begin"/>
        </w:r>
        <w:r>
          <w:rPr>
            <w:noProof/>
            <w:webHidden/>
          </w:rPr>
          <w:instrText xml:space="preserve"> PAGEREF _Toc181885865 \h </w:instrText>
        </w:r>
        <w:r>
          <w:rPr>
            <w:noProof/>
            <w:webHidden/>
          </w:rPr>
        </w:r>
        <w:r>
          <w:rPr>
            <w:noProof/>
            <w:webHidden/>
          </w:rPr>
          <w:fldChar w:fldCharType="separate"/>
        </w:r>
        <w:r>
          <w:rPr>
            <w:noProof/>
            <w:webHidden/>
          </w:rPr>
          <w:t>34</w:t>
        </w:r>
        <w:r>
          <w:rPr>
            <w:noProof/>
            <w:webHidden/>
          </w:rPr>
          <w:fldChar w:fldCharType="end"/>
        </w:r>
      </w:hyperlink>
    </w:p>
    <w:p w14:paraId="08EFEB0B" w14:textId="6DA945F9"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6" w:history="1">
        <w:r w:rsidRPr="00791771">
          <w:rPr>
            <w:rStyle w:val="Hyperlink"/>
            <w:noProof/>
          </w:rPr>
          <w:t>Figure 4 – The Gambia River Flood Hazard Map</w:t>
        </w:r>
        <w:r>
          <w:rPr>
            <w:noProof/>
            <w:webHidden/>
          </w:rPr>
          <w:tab/>
        </w:r>
        <w:r>
          <w:rPr>
            <w:noProof/>
            <w:webHidden/>
          </w:rPr>
          <w:fldChar w:fldCharType="begin"/>
        </w:r>
        <w:r>
          <w:rPr>
            <w:noProof/>
            <w:webHidden/>
          </w:rPr>
          <w:instrText xml:space="preserve"> PAGEREF _Toc181885866 \h </w:instrText>
        </w:r>
        <w:r>
          <w:rPr>
            <w:noProof/>
            <w:webHidden/>
          </w:rPr>
        </w:r>
        <w:r>
          <w:rPr>
            <w:noProof/>
            <w:webHidden/>
          </w:rPr>
          <w:fldChar w:fldCharType="separate"/>
        </w:r>
        <w:r>
          <w:rPr>
            <w:noProof/>
            <w:webHidden/>
          </w:rPr>
          <w:t>52</w:t>
        </w:r>
        <w:r>
          <w:rPr>
            <w:noProof/>
            <w:webHidden/>
          </w:rPr>
          <w:fldChar w:fldCharType="end"/>
        </w:r>
      </w:hyperlink>
    </w:p>
    <w:p w14:paraId="7718B925" w14:textId="5B5A9363"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7" w:history="1">
        <w:r w:rsidRPr="00791771">
          <w:rPr>
            <w:rStyle w:val="Hyperlink"/>
            <w:noProof/>
          </w:rPr>
          <w:t>Figure 5 – The Gambia Drought Hazard Map</w:t>
        </w:r>
        <w:r>
          <w:rPr>
            <w:noProof/>
            <w:webHidden/>
          </w:rPr>
          <w:tab/>
        </w:r>
        <w:r>
          <w:rPr>
            <w:noProof/>
            <w:webHidden/>
          </w:rPr>
          <w:fldChar w:fldCharType="begin"/>
        </w:r>
        <w:r>
          <w:rPr>
            <w:noProof/>
            <w:webHidden/>
          </w:rPr>
          <w:instrText xml:space="preserve"> PAGEREF _Toc181885867 \h </w:instrText>
        </w:r>
        <w:r>
          <w:rPr>
            <w:noProof/>
            <w:webHidden/>
          </w:rPr>
        </w:r>
        <w:r>
          <w:rPr>
            <w:noProof/>
            <w:webHidden/>
          </w:rPr>
          <w:fldChar w:fldCharType="separate"/>
        </w:r>
        <w:r>
          <w:rPr>
            <w:noProof/>
            <w:webHidden/>
          </w:rPr>
          <w:t>52</w:t>
        </w:r>
        <w:r>
          <w:rPr>
            <w:noProof/>
            <w:webHidden/>
          </w:rPr>
          <w:fldChar w:fldCharType="end"/>
        </w:r>
      </w:hyperlink>
    </w:p>
    <w:p w14:paraId="0A83AA78" w14:textId="1412B47F"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8" w:history="1">
        <w:r w:rsidRPr="00791771">
          <w:rPr>
            <w:rStyle w:val="Hyperlink"/>
            <w:noProof/>
          </w:rPr>
          <w:t>Figure 6 – ECOWAN Infrastructure Map</w:t>
        </w:r>
        <w:r>
          <w:rPr>
            <w:noProof/>
            <w:webHidden/>
          </w:rPr>
          <w:tab/>
        </w:r>
        <w:r>
          <w:rPr>
            <w:noProof/>
            <w:webHidden/>
          </w:rPr>
          <w:fldChar w:fldCharType="begin"/>
        </w:r>
        <w:r>
          <w:rPr>
            <w:noProof/>
            <w:webHidden/>
          </w:rPr>
          <w:instrText xml:space="preserve"> PAGEREF _Toc181885868 \h </w:instrText>
        </w:r>
        <w:r>
          <w:rPr>
            <w:noProof/>
            <w:webHidden/>
          </w:rPr>
        </w:r>
        <w:r>
          <w:rPr>
            <w:noProof/>
            <w:webHidden/>
          </w:rPr>
          <w:fldChar w:fldCharType="separate"/>
        </w:r>
        <w:r>
          <w:rPr>
            <w:noProof/>
            <w:webHidden/>
          </w:rPr>
          <w:t>57</w:t>
        </w:r>
        <w:r>
          <w:rPr>
            <w:noProof/>
            <w:webHidden/>
          </w:rPr>
          <w:fldChar w:fldCharType="end"/>
        </w:r>
      </w:hyperlink>
    </w:p>
    <w:p w14:paraId="782F71F7" w14:textId="4FC3FC7A"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69" w:history="1">
        <w:r w:rsidRPr="00791771">
          <w:rPr>
            <w:rStyle w:val="Hyperlink"/>
            <w:noProof/>
          </w:rPr>
          <w:t>Figure 7 – The Gambia Terrestrial and Subsea Fibre Infrastructure Map</w:t>
        </w:r>
        <w:r>
          <w:rPr>
            <w:noProof/>
            <w:webHidden/>
          </w:rPr>
          <w:tab/>
        </w:r>
        <w:r>
          <w:rPr>
            <w:noProof/>
            <w:webHidden/>
          </w:rPr>
          <w:fldChar w:fldCharType="begin"/>
        </w:r>
        <w:r>
          <w:rPr>
            <w:noProof/>
            <w:webHidden/>
          </w:rPr>
          <w:instrText xml:space="preserve"> PAGEREF _Toc181885869 \h </w:instrText>
        </w:r>
        <w:r>
          <w:rPr>
            <w:noProof/>
            <w:webHidden/>
          </w:rPr>
        </w:r>
        <w:r>
          <w:rPr>
            <w:noProof/>
            <w:webHidden/>
          </w:rPr>
          <w:fldChar w:fldCharType="separate"/>
        </w:r>
        <w:r>
          <w:rPr>
            <w:noProof/>
            <w:webHidden/>
          </w:rPr>
          <w:t>58</w:t>
        </w:r>
        <w:r>
          <w:rPr>
            <w:noProof/>
            <w:webHidden/>
          </w:rPr>
          <w:fldChar w:fldCharType="end"/>
        </w:r>
      </w:hyperlink>
    </w:p>
    <w:p w14:paraId="4F340FA9" w14:textId="2F3C30A9"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0" w:history="1">
        <w:r w:rsidRPr="00791771">
          <w:rPr>
            <w:rStyle w:val="Hyperlink"/>
            <w:noProof/>
          </w:rPr>
          <w:t>Figure 8 – The Gambia Microwave Infrastructure Map</w:t>
        </w:r>
        <w:r>
          <w:rPr>
            <w:noProof/>
            <w:webHidden/>
          </w:rPr>
          <w:tab/>
        </w:r>
        <w:r>
          <w:rPr>
            <w:noProof/>
            <w:webHidden/>
          </w:rPr>
          <w:fldChar w:fldCharType="begin"/>
        </w:r>
        <w:r>
          <w:rPr>
            <w:noProof/>
            <w:webHidden/>
          </w:rPr>
          <w:instrText xml:space="preserve"> PAGEREF _Toc181885870 \h </w:instrText>
        </w:r>
        <w:r>
          <w:rPr>
            <w:noProof/>
            <w:webHidden/>
          </w:rPr>
        </w:r>
        <w:r>
          <w:rPr>
            <w:noProof/>
            <w:webHidden/>
          </w:rPr>
          <w:fldChar w:fldCharType="separate"/>
        </w:r>
        <w:r>
          <w:rPr>
            <w:noProof/>
            <w:webHidden/>
          </w:rPr>
          <w:t>58</w:t>
        </w:r>
        <w:r>
          <w:rPr>
            <w:noProof/>
            <w:webHidden/>
          </w:rPr>
          <w:fldChar w:fldCharType="end"/>
        </w:r>
      </w:hyperlink>
    </w:p>
    <w:p w14:paraId="1B4994D9" w14:textId="093F52E5"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1" w:history="1">
        <w:r w:rsidRPr="00791771">
          <w:rPr>
            <w:rStyle w:val="Hyperlink"/>
            <w:noProof/>
          </w:rPr>
          <w:t>Figure 9 – Gamcel Combined GSM and 3G Network Coverage</w:t>
        </w:r>
        <w:r>
          <w:rPr>
            <w:noProof/>
            <w:webHidden/>
          </w:rPr>
          <w:tab/>
        </w:r>
        <w:r>
          <w:rPr>
            <w:noProof/>
            <w:webHidden/>
          </w:rPr>
          <w:fldChar w:fldCharType="begin"/>
        </w:r>
        <w:r>
          <w:rPr>
            <w:noProof/>
            <w:webHidden/>
          </w:rPr>
          <w:instrText xml:space="preserve"> PAGEREF _Toc181885871 \h </w:instrText>
        </w:r>
        <w:r>
          <w:rPr>
            <w:noProof/>
            <w:webHidden/>
          </w:rPr>
        </w:r>
        <w:r>
          <w:rPr>
            <w:noProof/>
            <w:webHidden/>
          </w:rPr>
          <w:fldChar w:fldCharType="separate"/>
        </w:r>
        <w:r>
          <w:rPr>
            <w:noProof/>
            <w:webHidden/>
          </w:rPr>
          <w:t>59</w:t>
        </w:r>
        <w:r>
          <w:rPr>
            <w:noProof/>
            <w:webHidden/>
          </w:rPr>
          <w:fldChar w:fldCharType="end"/>
        </w:r>
      </w:hyperlink>
    </w:p>
    <w:p w14:paraId="70E00320" w14:textId="3DC730B3"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2" w:history="1">
        <w:r w:rsidRPr="00791771">
          <w:rPr>
            <w:rStyle w:val="Hyperlink"/>
            <w:noProof/>
          </w:rPr>
          <w:t>Figure 10 – Africell Combined GSM, 3G and LTE Network Coverage</w:t>
        </w:r>
        <w:r>
          <w:rPr>
            <w:noProof/>
            <w:webHidden/>
          </w:rPr>
          <w:tab/>
        </w:r>
        <w:r>
          <w:rPr>
            <w:noProof/>
            <w:webHidden/>
          </w:rPr>
          <w:fldChar w:fldCharType="begin"/>
        </w:r>
        <w:r>
          <w:rPr>
            <w:noProof/>
            <w:webHidden/>
          </w:rPr>
          <w:instrText xml:space="preserve"> PAGEREF _Toc181885872 \h </w:instrText>
        </w:r>
        <w:r>
          <w:rPr>
            <w:noProof/>
            <w:webHidden/>
          </w:rPr>
        </w:r>
        <w:r>
          <w:rPr>
            <w:noProof/>
            <w:webHidden/>
          </w:rPr>
          <w:fldChar w:fldCharType="separate"/>
        </w:r>
        <w:r>
          <w:rPr>
            <w:noProof/>
            <w:webHidden/>
          </w:rPr>
          <w:t>59</w:t>
        </w:r>
        <w:r>
          <w:rPr>
            <w:noProof/>
            <w:webHidden/>
          </w:rPr>
          <w:fldChar w:fldCharType="end"/>
        </w:r>
      </w:hyperlink>
    </w:p>
    <w:p w14:paraId="5CE4C89A" w14:textId="5583A2F3"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3" w:history="1">
        <w:r w:rsidRPr="00791771">
          <w:rPr>
            <w:rStyle w:val="Hyperlink"/>
            <w:noProof/>
          </w:rPr>
          <w:t>Figure 11 – QCell Combined GSM, 3G and LTE Network</w:t>
        </w:r>
        <w:r>
          <w:rPr>
            <w:noProof/>
            <w:webHidden/>
          </w:rPr>
          <w:tab/>
        </w:r>
        <w:r>
          <w:rPr>
            <w:noProof/>
            <w:webHidden/>
          </w:rPr>
          <w:fldChar w:fldCharType="begin"/>
        </w:r>
        <w:r>
          <w:rPr>
            <w:noProof/>
            <w:webHidden/>
          </w:rPr>
          <w:instrText xml:space="preserve"> PAGEREF _Toc181885873 \h </w:instrText>
        </w:r>
        <w:r>
          <w:rPr>
            <w:noProof/>
            <w:webHidden/>
          </w:rPr>
        </w:r>
        <w:r>
          <w:rPr>
            <w:noProof/>
            <w:webHidden/>
          </w:rPr>
          <w:fldChar w:fldCharType="separate"/>
        </w:r>
        <w:r>
          <w:rPr>
            <w:noProof/>
            <w:webHidden/>
          </w:rPr>
          <w:t>60</w:t>
        </w:r>
        <w:r>
          <w:rPr>
            <w:noProof/>
            <w:webHidden/>
          </w:rPr>
          <w:fldChar w:fldCharType="end"/>
        </w:r>
      </w:hyperlink>
    </w:p>
    <w:p w14:paraId="4FF09E07" w14:textId="22481039"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4" w:history="1">
        <w:r w:rsidRPr="00791771">
          <w:rPr>
            <w:rStyle w:val="Hyperlink"/>
            <w:noProof/>
          </w:rPr>
          <w:t>Figure 12 - Crowdsourced Coverage - Comium</w:t>
        </w:r>
        <w:r>
          <w:rPr>
            <w:noProof/>
            <w:webHidden/>
          </w:rPr>
          <w:tab/>
        </w:r>
        <w:r>
          <w:rPr>
            <w:noProof/>
            <w:webHidden/>
          </w:rPr>
          <w:fldChar w:fldCharType="begin"/>
        </w:r>
        <w:r>
          <w:rPr>
            <w:noProof/>
            <w:webHidden/>
          </w:rPr>
          <w:instrText xml:space="preserve"> PAGEREF _Toc181885874 \h </w:instrText>
        </w:r>
        <w:r>
          <w:rPr>
            <w:noProof/>
            <w:webHidden/>
          </w:rPr>
        </w:r>
        <w:r>
          <w:rPr>
            <w:noProof/>
            <w:webHidden/>
          </w:rPr>
          <w:fldChar w:fldCharType="separate"/>
        </w:r>
        <w:r>
          <w:rPr>
            <w:noProof/>
            <w:webHidden/>
          </w:rPr>
          <w:t>60</w:t>
        </w:r>
        <w:r>
          <w:rPr>
            <w:noProof/>
            <w:webHidden/>
          </w:rPr>
          <w:fldChar w:fldCharType="end"/>
        </w:r>
      </w:hyperlink>
    </w:p>
    <w:p w14:paraId="5CEB4377" w14:textId="7F32B687"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5" w:history="1">
        <w:r w:rsidRPr="00791771">
          <w:rPr>
            <w:rStyle w:val="Hyperlink"/>
            <w:noProof/>
          </w:rPr>
          <w:t>Figure 13 - Crowdsourced Coverage Data - Gamcel</w:t>
        </w:r>
        <w:r>
          <w:rPr>
            <w:noProof/>
            <w:webHidden/>
          </w:rPr>
          <w:tab/>
        </w:r>
        <w:r>
          <w:rPr>
            <w:noProof/>
            <w:webHidden/>
          </w:rPr>
          <w:fldChar w:fldCharType="begin"/>
        </w:r>
        <w:r>
          <w:rPr>
            <w:noProof/>
            <w:webHidden/>
          </w:rPr>
          <w:instrText xml:space="preserve"> PAGEREF _Toc181885875 \h </w:instrText>
        </w:r>
        <w:r>
          <w:rPr>
            <w:noProof/>
            <w:webHidden/>
          </w:rPr>
        </w:r>
        <w:r>
          <w:rPr>
            <w:noProof/>
            <w:webHidden/>
          </w:rPr>
          <w:fldChar w:fldCharType="separate"/>
        </w:r>
        <w:r>
          <w:rPr>
            <w:noProof/>
            <w:webHidden/>
          </w:rPr>
          <w:t>61</w:t>
        </w:r>
        <w:r>
          <w:rPr>
            <w:noProof/>
            <w:webHidden/>
          </w:rPr>
          <w:fldChar w:fldCharType="end"/>
        </w:r>
      </w:hyperlink>
    </w:p>
    <w:p w14:paraId="48880CAA" w14:textId="1F69E00A"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6" w:history="1">
        <w:r w:rsidRPr="00791771">
          <w:rPr>
            <w:rStyle w:val="Hyperlink"/>
            <w:noProof/>
          </w:rPr>
          <w:t>Figure 14 - Crowdsourced Coverage - Africell</w:t>
        </w:r>
        <w:r>
          <w:rPr>
            <w:noProof/>
            <w:webHidden/>
          </w:rPr>
          <w:tab/>
        </w:r>
        <w:r>
          <w:rPr>
            <w:noProof/>
            <w:webHidden/>
          </w:rPr>
          <w:fldChar w:fldCharType="begin"/>
        </w:r>
        <w:r>
          <w:rPr>
            <w:noProof/>
            <w:webHidden/>
          </w:rPr>
          <w:instrText xml:space="preserve"> PAGEREF _Toc181885876 \h </w:instrText>
        </w:r>
        <w:r>
          <w:rPr>
            <w:noProof/>
            <w:webHidden/>
          </w:rPr>
        </w:r>
        <w:r>
          <w:rPr>
            <w:noProof/>
            <w:webHidden/>
          </w:rPr>
          <w:fldChar w:fldCharType="separate"/>
        </w:r>
        <w:r>
          <w:rPr>
            <w:noProof/>
            <w:webHidden/>
          </w:rPr>
          <w:t>61</w:t>
        </w:r>
        <w:r>
          <w:rPr>
            <w:noProof/>
            <w:webHidden/>
          </w:rPr>
          <w:fldChar w:fldCharType="end"/>
        </w:r>
      </w:hyperlink>
    </w:p>
    <w:p w14:paraId="265AA6D5" w14:textId="6E16B51E"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7" w:history="1">
        <w:r w:rsidRPr="00791771">
          <w:rPr>
            <w:rStyle w:val="Hyperlink"/>
            <w:noProof/>
          </w:rPr>
          <w:t>Figure 15 - Crowdsourced Coverage - QCell</w:t>
        </w:r>
        <w:r>
          <w:rPr>
            <w:noProof/>
            <w:webHidden/>
          </w:rPr>
          <w:tab/>
        </w:r>
        <w:r>
          <w:rPr>
            <w:noProof/>
            <w:webHidden/>
          </w:rPr>
          <w:fldChar w:fldCharType="begin"/>
        </w:r>
        <w:r>
          <w:rPr>
            <w:noProof/>
            <w:webHidden/>
          </w:rPr>
          <w:instrText xml:space="preserve"> PAGEREF _Toc181885877 \h </w:instrText>
        </w:r>
        <w:r>
          <w:rPr>
            <w:noProof/>
            <w:webHidden/>
          </w:rPr>
        </w:r>
        <w:r>
          <w:rPr>
            <w:noProof/>
            <w:webHidden/>
          </w:rPr>
          <w:fldChar w:fldCharType="separate"/>
        </w:r>
        <w:r>
          <w:rPr>
            <w:noProof/>
            <w:webHidden/>
          </w:rPr>
          <w:t>62</w:t>
        </w:r>
        <w:r>
          <w:rPr>
            <w:noProof/>
            <w:webHidden/>
          </w:rPr>
          <w:fldChar w:fldCharType="end"/>
        </w:r>
      </w:hyperlink>
    </w:p>
    <w:p w14:paraId="7EBF0162" w14:textId="3115DEBC"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8" w:history="1">
        <w:r w:rsidRPr="00791771">
          <w:rPr>
            <w:rStyle w:val="Hyperlink"/>
            <w:noProof/>
          </w:rPr>
          <w:t>Figure 16 – Africa Coast to Europe Route</w:t>
        </w:r>
        <w:r>
          <w:rPr>
            <w:noProof/>
            <w:webHidden/>
          </w:rPr>
          <w:tab/>
        </w:r>
        <w:r>
          <w:rPr>
            <w:noProof/>
            <w:webHidden/>
          </w:rPr>
          <w:fldChar w:fldCharType="begin"/>
        </w:r>
        <w:r>
          <w:rPr>
            <w:noProof/>
            <w:webHidden/>
          </w:rPr>
          <w:instrText xml:space="preserve"> PAGEREF _Toc181885878 \h </w:instrText>
        </w:r>
        <w:r>
          <w:rPr>
            <w:noProof/>
            <w:webHidden/>
          </w:rPr>
        </w:r>
        <w:r>
          <w:rPr>
            <w:noProof/>
            <w:webHidden/>
          </w:rPr>
          <w:fldChar w:fldCharType="separate"/>
        </w:r>
        <w:r>
          <w:rPr>
            <w:noProof/>
            <w:webHidden/>
          </w:rPr>
          <w:t>63</w:t>
        </w:r>
        <w:r>
          <w:rPr>
            <w:noProof/>
            <w:webHidden/>
          </w:rPr>
          <w:fldChar w:fldCharType="end"/>
        </w:r>
      </w:hyperlink>
    </w:p>
    <w:p w14:paraId="00A4FBCD" w14:textId="6043F2F5"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79" w:history="1">
        <w:r w:rsidRPr="00791771">
          <w:rPr>
            <w:rStyle w:val="Hyperlink"/>
            <w:noProof/>
          </w:rPr>
          <w:t>Figure 17 - African Satellites by Country</w:t>
        </w:r>
        <w:r>
          <w:rPr>
            <w:noProof/>
            <w:webHidden/>
          </w:rPr>
          <w:tab/>
        </w:r>
        <w:r>
          <w:rPr>
            <w:noProof/>
            <w:webHidden/>
          </w:rPr>
          <w:fldChar w:fldCharType="begin"/>
        </w:r>
        <w:r>
          <w:rPr>
            <w:noProof/>
            <w:webHidden/>
          </w:rPr>
          <w:instrText xml:space="preserve"> PAGEREF _Toc181885879 \h </w:instrText>
        </w:r>
        <w:r>
          <w:rPr>
            <w:noProof/>
            <w:webHidden/>
          </w:rPr>
        </w:r>
        <w:r>
          <w:rPr>
            <w:noProof/>
            <w:webHidden/>
          </w:rPr>
          <w:fldChar w:fldCharType="separate"/>
        </w:r>
        <w:r>
          <w:rPr>
            <w:noProof/>
            <w:webHidden/>
          </w:rPr>
          <w:t>65</w:t>
        </w:r>
        <w:r>
          <w:rPr>
            <w:noProof/>
            <w:webHidden/>
          </w:rPr>
          <w:fldChar w:fldCharType="end"/>
        </w:r>
      </w:hyperlink>
    </w:p>
    <w:p w14:paraId="545C89DD" w14:textId="0ED4F179"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80" w:history="1">
        <w:r w:rsidRPr="00791771">
          <w:rPr>
            <w:rStyle w:val="Hyperlink"/>
            <w:noProof/>
          </w:rPr>
          <w:t>Figure 18 - EWS Top Level Architecture</w:t>
        </w:r>
        <w:r>
          <w:rPr>
            <w:noProof/>
            <w:webHidden/>
          </w:rPr>
          <w:tab/>
        </w:r>
        <w:r>
          <w:rPr>
            <w:noProof/>
            <w:webHidden/>
          </w:rPr>
          <w:fldChar w:fldCharType="begin"/>
        </w:r>
        <w:r>
          <w:rPr>
            <w:noProof/>
            <w:webHidden/>
          </w:rPr>
          <w:instrText xml:space="preserve"> PAGEREF _Toc181885880 \h </w:instrText>
        </w:r>
        <w:r>
          <w:rPr>
            <w:noProof/>
            <w:webHidden/>
          </w:rPr>
        </w:r>
        <w:r>
          <w:rPr>
            <w:noProof/>
            <w:webHidden/>
          </w:rPr>
          <w:fldChar w:fldCharType="separate"/>
        </w:r>
        <w:r>
          <w:rPr>
            <w:noProof/>
            <w:webHidden/>
          </w:rPr>
          <w:t>78</w:t>
        </w:r>
        <w:r>
          <w:rPr>
            <w:noProof/>
            <w:webHidden/>
          </w:rPr>
          <w:fldChar w:fldCharType="end"/>
        </w:r>
      </w:hyperlink>
    </w:p>
    <w:p w14:paraId="7D21CB6F" w14:textId="2A4108FD"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81" w:history="1">
        <w:r w:rsidRPr="00791771">
          <w:rPr>
            <w:rStyle w:val="Hyperlink"/>
            <w:noProof/>
          </w:rPr>
          <w:t>Figure 19 – African Flood and Drought Monitor</w:t>
        </w:r>
        <w:r>
          <w:rPr>
            <w:noProof/>
            <w:webHidden/>
          </w:rPr>
          <w:tab/>
        </w:r>
        <w:r>
          <w:rPr>
            <w:noProof/>
            <w:webHidden/>
          </w:rPr>
          <w:fldChar w:fldCharType="begin"/>
        </w:r>
        <w:r>
          <w:rPr>
            <w:noProof/>
            <w:webHidden/>
          </w:rPr>
          <w:instrText xml:space="preserve"> PAGEREF _Toc181885881 \h </w:instrText>
        </w:r>
        <w:r>
          <w:rPr>
            <w:noProof/>
            <w:webHidden/>
          </w:rPr>
        </w:r>
        <w:r>
          <w:rPr>
            <w:noProof/>
            <w:webHidden/>
          </w:rPr>
          <w:fldChar w:fldCharType="separate"/>
        </w:r>
        <w:r>
          <w:rPr>
            <w:noProof/>
            <w:webHidden/>
          </w:rPr>
          <w:t>79</w:t>
        </w:r>
        <w:r>
          <w:rPr>
            <w:noProof/>
            <w:webHidden/>
          </w:rPr>
          <w:fldChar w:fldCharType="end"/>
        </w:r>
      </w:hyperlink>
    </w:p>
    <w:p w14:paraId="14865910" w14:textId="339BB955"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82" w:history="1">
        <w:r w:rsidRPr="00791771">
          <w:rPr>
            <w:rStyle w:val="Hyperlink"/>
            <w:noProof/>
          </w:rPr>
          <w:t>Figure 20 - Common Alerting Protocol (CAP)</w:t>
        </w:r>
        <w:r>
          <w:rPr>
            <w:noProof/>
            <w:webHidden/>
          </w:rPr>
          <w:tab/>
        </w:r>
        <w:r>
          <w:rPr>
            <w:noProof/>
            <w:webHidden/>
          </w:rPr>
          <w:fldChar w:fldCharType="begin"/>
        </w:r>
        <w:r>
          <w:rPr>
            <w:noProof/>
            <w:webHidden/>
          </w:rPr>
          <w:instrText xml:space="preserve"> PAGEREF _Toc181885882 \h </w:instrText>
        </w:r>
        <w:r>
          <w:rPr>
            <w:noProof/>
            <w:webHidden/>
          </w:rPr>
        </w:r>
        <w:r>
          <w:rPr>
            <w:noProof/>
            <w:webHidden/>
          </w:rPr>
          <w:fldChar w:fldCharType="separate"/>
        </w:r>
        <w:r>
          <w:rPr>
            <w:noProof/>
            <w:webHidden/>
          </w:rPr>
          <w:t>81</w:t>
        </w:r>
        <w:r>
          <w:rPr>
            <w:noProof/>
            <w:webHidden/>
          </w:rPr>
          <w:fldChar w:fldCharType="end"/>
        </w:r>
      </w:hyperlink>
    </w:p>
    <w:p w14:paraId="0113787C" w14:textId="210D70F4" w:rsidR="00681DEA" w:rsidRDefault="00681DEA">
      <w:pPr>
        <w:pStyle w:val="TableofFigures"/>
        <w:tabs>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181885883" w:history="1">
        <w:r w:rsidRPr="00791771">
          <w:rPr>
            <w:rStyle w:val="Hyperlink"/>
            <w:noProof/>
          </w:rPr>
          <w:t>Figure 21 - Example CAP Message</w:t>
        </w:r>
        <w:r>
          <w:rPr>
            <w:noProof/>
            <w:webHidden/>
          </w:rPr>
          <w:tab/>
        </w:r>
        <w:r>
          <w:rPr>
            <w:noProof/>
            <w:webHidden/>
          </w:rPr>
          <w:fldChar w:fldCharType="begin"/>
        </w:r>
        <w:r>
          <w:rPr>
            <w:noProof/>
            <w:webHidden/>
          </w:rPr>
          <w:instrText xml:space="preserve"> PAGEREF _Toc181885883 \h </w:instrText>
        </w:r>
        <w:r>
          <w:rPr>
            <w:noProof/>
            <w:webHidden/>
          </w:rPr>
        </w:r>
        <w:r>
          <w:rPr>
            <w:noProof/>
            <w:webHidden/>
          </w:rPr>
          <w:fldChar w:fldCharType="separate"/>
        </w:r>
        <w:r>
          <w:rPr>
            <w:noProof/>
            <w:webHidden/>
          </w:rPr>
          <w:t>81</w:t>
        </w:r>
        <w:r>
          <w:rPr>
            <w:noProof/>
            <w:webHidden/>
          </w:rPr>
          <w:fldChar w:fldCharType="end"/>
        </w:r>
      </w:hyperlink>
    </w:p>
    <w:p w14:paraId="2E3AC5E2" w14:textId="1E9811E3" w:rsidR="00263E9A" w:rsidRPr="00DE1BD4" w:rsidRDefault="005A2E30" w:rsidP="005A2E30">
      <w:pPr>
        <w:pStyle w:val="NoNumber"/>
        <w:jc w:val="center"/>
        <w:rPr>
          <w:sz w:val="32"/>
        </w:rPr>
      </w:pPr>
      <w:r w:rsidRPr="00DE1BD4">
        <w:fldChar w:fldCharType="end"/>
      </w:r>
      <w:r w:rsidR="00263E9A" w:rsidRPr="00DE1BD4">
        <w:br w:type="page"/>
      </w:r>
    </w:p>
    <w:p w14:paraId="063178B9" w14:textId="33967607" w:rsidR="006A290D" w:rsidRPr="00DE1BD4" w:rsidRDefault="00DA09B3" w:rsidP="00DA4E35">
      <w:pPr>
        <w:pStyle w:val="NoNumber"/>
      </w:pPr>
      <w:bookmarkStart w:id="6" w:name="_Toc91172587"/>
      <w:bookmarkStart w:id="7" w:name="_Toc91185474"/>
      <w:bookmarkStart w:id="8" w:name="_Toc181885759"/>
      <w:r w:rsidRPr="00DE1BD4">
        <w:t>Introdu</w:t>
      </w:r>
      <w:r w:rsidR="00B54FA1" w:rsidRPr="00DE1BD4">
        <w:t>ction</w:t>
      </w:r>
      <w:bookmarkEnd w:id="4"/>
      <w:bookmarkEnd w:id="5"/>
      <w:bookmarkEnd w:id="6"/>
      <w:bookmarkEnd w:id="7"/>
      <w:bookmarkEnd w:id="8"/>
    </w:p>
    <w:p w14:paraId="42ACDCAB" w14:textId="2B099FEF" w:rsidR="00AB1F8A" w:rsidRPr="00DE1BD4" w:rsidRDefault="00AB1F8A" w:rsidP="00AB1F8A">
      <w:r w:rsidRPr="00DE1BD4">
        <w:t xml:space="preserve">The National Emergency Telecommunication Plan (NETP) is a strategic plan that </w:t>
      </w:r>
      <w:r w:rsidR="00DF5244" w:rsidRPr="00DE1BD4">
        <w:t xml:space="preserve">enables </w:t>
      </w:r>
      <w:r w:rsidRPr="00DE1BD4">
        <w:t>communication</w:t>
      </w:r>
      <w:r w:rsidR="00DF5244" w:rsidRPr="00DE1BD4">
        <w:t>s</w:t>
      </w:r>
      <w:r w:rsidRPr="00DE1BD4">
        <w:t xml:space="preserve"> and exchange of information about </w:t>
      </w:r>
      <w:r w:rsidR="00633A9C" w:rsidRPr="00DE1BD4">
        <w:t xml:space="preserve">natural </w:t>
      </w:r>
      <w:r w:rsidR="00585516" w:rsidRPr="00DE1BD4">
        <w:t>hazard</w:t>
      </w:r>
      <w:r w:rsidRPr="00DE1BD4">
        <w:t xml:space="preserve">s, </w:t>
      </w:r>
      <w:r w:rsidR="007464FE" w:rsidRPr="00DE1BD4">
        <w:t xml:space="preserve">disaster </w:t>
      </w:r>
      <w:r w:rsidRPr="00DE1BD4">
        <w:t>risks, and how to</w:t>
      </w:r>
      <w:r w:rsidR="00785553" w:rsidRPr="00DE1BD4">
        <w:t xml:space="preserve"> use telecommunications/ICTs</w:t>
      </w:r>
      <w:r w:rsidRPr="00DE1BD4">
        <w:t xml:space="preserve"> </w:t>
      </w:r>
      <w:r w:rsidR="00B42AD1" w:rsidRPr="00DE1BD4">
        <w:t xml:space="preserve">to </w:t>
      </w:r>
      <w:r w:rsidRPr="00DE1BD4">
        <w:t xml:space="preserve">respond to </w:t>
      </w:r>
      <w:r w:rsidR="007464FE" w:rsidRPr="00DE1BD4">
        <w:t>disaster events</w:t>
      </w:r>
      <w:r w:rsidRPr="00DE1BD4">
        <w:t xml:space="preserve"> at all government levels, within communities, and between public and private organizations</w:t>
      </w:r>
      <w:r w:rsidR="00C12012" w:rsidRPr="0045782B">
        <w:rPr>
          <w:rStyle w:val="FootnoteReference"/>
        </w:rPr>
        <w:footnoteReference w:id="2"/>
      </w:r>
      <w:r w:rsidRPr="00DE1BD4">
        <w:t>.</w:t>
      </w:r>
    </w:p>
    <w:p w14:paraId="5C8366AE" w14:textId="2A2ECC21" w:rsidR="0011124C" w:rsidRPr="00DE1BD4" w:rsidRDefault="008F3E68" w:rsidP="00AB1F8A">
      <w:r w:rsidRPr="00DE1BD4">
        <w:t>T</w:t>
      </w:r>
      <w:r w:rsidR="00AB1F8A" w:rsidRPr="00DE1BD4">
        <w:t>h</w:t>
      </w:r>
      <w:r w:rsidR="001F34FF" w:rsidRPr="00DE1BD4">
        <w:t>e</w:t>
      </w:r>
      <w:r w:rsidR="00AB1F8A" w:rsidRPr="00DE1BD4">
        <w:t xml:space="preserve"> NETP </w:t>
      </w:r>
      <w:r w:rsidR="00561E91" w:rsidRPr="00DE1BD4">
        <w:t>describes</w:t>
      </w:r>
      <w:r w:rsidR="0079375B" w:rsidRPr="00DE1BD4">
        <w:t xml:space="preserve"> the</w:t>
      </w:r>
      <w:r w:rsidR="00AB1F8A" w:rsidRPr="00DE1BD4">
        <w:t xml:space="preserve"> policies, organizational </w:t>
      </w:r>
      <w:r w:rsidR="001F34FF" w:rsidRPr="00DE1BD4">
        <w:t>structure,</w:t>
      </w:r>
      <w:r w:rsidR="00AB1F8A" w:rsidRPr="00DE1BD4">
        <w:t xml:space="preserve"> and methods of coordination between the different actors during all four phases of disaster management. </w:t>
      </w:r>
      <w:r w:rsidR="007544EB" w:rsidRPr="00DE1BD4">
        <w:t xml:space="preserve">It </w:t>
      </w:r>
      <w:r w:rsidR="00FB5E57" w:rsidRPr="00DE1BD4">
        <w:t>provides a snapshot</w:t>
      </w:r>
      <w:r w:rsidR="00AB1F8A" w:rsidRPr="00DE1BD4">
        <w:t xml:space="preserve"> of </w:t>
      </w:r>
      <w:r w:rsidR="00B42AD1" w:rsidRPr="00DE1BD4">
        <w:t xml:space="preserve">available </w:t>
      </w:r>
      <w:r w:rsidR="00FB5E57" w:rsidRPr="00DE1BD4">
        <w:t xml:space="preserve">telecom/ICT </w:t>
      </w:r>
      <w:r w:rsidR="00AB1F8A" w:rsidRPr="00DE1BD4">
        <w:t xml:space="preserve">resources and responsibilities for </w:t>
      </w:r>
      <w:r w:rsidR="00B42AD1" w:rsidRPr="00DE1BD4">
        <w:t>achieving disaster risk mitigation</w:t>
      </w:r>
      <w:r w:rsidR="00633A9C" w:rsidRPr="00DE1BD4">
        <w:t>,</w:t>
      </w:r>
      <w:r w:rsidR="00B42AD1" w:rsidRPr="00DE1BD4">
        <w:t xml:space="preserve"> </w:t>
      </w:r>
      <w:r w:rsidR="00633A9C" w:rsidRPr="00DE1BD4">
        <w:t xml:space="preserve">as well as </w:t>
      </w:r>
      <w:r w:rsidR="00B42AD1" w:rsidRPr="00DE1BD4">
        <w:t>responding to emergency events.</w:t>
      </w:r>
    </w:p>
    <w:p w14:paraId="1CABA9B7" w14:textId="211C2867" w:rsidR="00713FAA" w:rsidRPr="00DE1BD4" w:rsidRDefault="001F34FF" w:rsidP="00AB1F8A">
      <w:r w:rsidRPr="00DE1BD4">
        <w:t>The</w:t>
      </w:r>
      <w:r w:rsidR="00AB1F8A" w:rsidRPr="00DE1BD4">
        <w:t xml:space="preserve"> imp</w:t>
      </w:r>
      <w:r w:rsidRPr="00DE1BD4">
        <w:t>act</w:t>
      </w:r>
      <w:r w:rsidR="00AB1F8A" w:rsidRPr="00DE1BD4">
        <w:t xml:space="preserve"> of</w:t>
      </w:r>
      <w:r w:rsidRPr="00DE1BD4">
        <w:t>,</w:t>
      </w:r>
      <w:r w:rsidR="00AB1F8A" w:rsidRPr="00DE1BD4">
        <w:t xml:space="preserve"> </w:t>
      </w:r>
      <w:r w:rsidRPr="00DE1BD4">
        <w:t xml:space="preserve">and reliance on, </w:t>
      </w:r>
      <w:r w:rsidR="00AD76A8" w:rsidRPr="00DE1BD4">
        <w:t>telecom/ICT</w:t>
      </w:r>
      <w:r w:rsidR="00AB1F8A" w:rsidRPr="00DE1BD4">
        <w:t xml:space="preserve">s </w:t>
      </w:r>
      <w:r w:rsidR="00B42AD1" w:rsidRPr="00DE1BD4">
        <w:t>in all phases of</w:t>
      </w:r>
      <w:r w:rsidR="00AB1F8A" w:rsidRPr="00DE1BD4">
        <w:t xml:space="preserve"> disaster </w:t>
      </w:r>
      <w:r w:rsidR="00C84818" w:rsidRPr="00DE1BD4">
        <w:t xml:space="preserve">risk </w:t>
      </w:r>
      <w:r w:rsidR="00AB1F8A" w:rsidRPr="00DE1BD4">
        <w:t>management</w:t>
      </w:r>
      <w:r w:rsidR="009D2D1A" w:rsidRPr="00DE1BD4">
        <w:t xml:space="preserve"> (DRM)</w:t>
      </w:r>
      <w:r w:rsidRPr="00DE1BD4">
        <w:t xml:space="preserve"> is increasingly </w:t>
      </w:r>
      <w:r w:rsidR="00436A56" w:rsidRPr="00DE1BD4">
        <w:t>crosscutting</w:t>
      </w:r>
      <w:r w:rsidRPr="00DE1BD4">
        <w:t xml:space="preserve"> in nature</w:t>
      </w:r>
      <w:r w:rsidR="00AB1F8A" w:rsidRPr="00DE1BD4">
        <w:t xml:space="preserve">. Therefore, </w:t>
      </w:r>
      <w:r w:rsidRPr="00DE1BD4">
        <w:t>the NETP</w:t>
      </w:r>
      <w:r w:rsidR="00AB1F8A" w:rsidRPr="00DE1BD4">
        <w:t xml:space="preserve"> must be carried out under the leadership of the national government, be an integral part of the </w:t>
      </w:r>
      <w:r w:rsidR="00AB5DD1" w:rsidRPr="00DE1BD4">
        <w:t xml:space="preserve">National Disaster Management </w:t>
      </w:r>
      <w:r w:rsidR="00B42AD1" w:rsidRPr="00DE1BD4">
        <w:t>Plan and</w:t>
      </w:r>
      <w:r w:rsidR="00AB1F8A" w:rsidRPr="00DE1BD4">
        <w:t xml:space="preserve"> </w:t>
      </w:r>
      <w:r w:rsidR="00806415" w:rsidRPr="00DE1BD4">
        <w:t xml:space="preserve">be </w:t>
      </w:r>
      <w:r w:rsidR="008F3E68" w:rsidRPr="00DE1BD4">
        <w:t xml:space="preserve">built under </w:t>
      </w:r>
      <w:r w:rsidR="00AB1F8A" w:rsidRPr="00DE1BD4">
        <w:t xml:space="preserve">the organizational structure and governance model established for </w:t>
      </w:r>
      <w:r w:rsidR="00C84818" w:rsidRPr="00DE1BD4">
        <w:t>disaster risk management</w:t>
      </w:r>
      <w:r w:rsidR="00AB1F8A" w:rsidRPr="00DE1BD4">
        <w:t xml:space="preserve"> nationwide.</w:t>
      </w:r>
    </w:p>
    <w:p w14:paraId="52820FB5" w14:textId="0C01C812" w:rsidR="00AB1F8A" w:rsidRPr="00DE1BD4" w:rsidRDefault="00AB1F8A" w:rsidP="005576E2">
      <w:pPr>
        <w:pStyle w:val="NoNumber"/>
      </w:pPr>
      <w:bookmarkStart w:id="9" w:name="_3znysh7"/>
      <w:bookmarkStart w:id="10" w:name="_Toc90825937"/>
      <w:bookmarkStart w:id="11" w:name="_Toc91172588"/>
      <w:bookmarkStart w:id="12" w:name="_Toc91185475"/>
      <w:bookmarkStart w:id="13" w:name="_Toc181885760"/>
      <w:bookmarkEnd w:id="9"/>
      <w:r w:rsidRPr="00DE1BD4">
        <w:t xml:space="preserve">Objective and </w:t>
      </w:r>
      <w:r w:rsidR="00E949A4" w:rsidRPr="00DE1BD4">
        <w:t>S</w:t>
      </w:r>
      <w:r w:rsidRPr="00DE1BD4">
        <w:t>cope of the NETP</w:t>
      </w:r>
      <w:bookmarkEnd w:id="10"/>
      <w:bookmarkEnd w:id="11"/>
      <w:bookmarkEnd w:id="12"/>
      <w:bookmarkEnd w:id="13"/>
    </w:p>
    <w:p w14:paraId="42BFCFF5" w14:textId="40244A0C" w:rsidR="00A14C2A" w:rsidRPr="00DE1BD4" w:rsidRDefault="00653409" w:rsidP="00A14C2A">
      <w:r w:rsidRPr="00DE1BD4">
        <w:t>The primary</w:t>
      </w:r>
      <w:r w:rsidR="0068510A" w:rsidRPr="00DE1BD4">
        <w:t xml:space="preserve"> objective of </w:t>
      </w:r>
      <w:r w:rsidR="007B46A4">
        <w:t>The Gambia</w:t>
      </w:r>
      <w:r w:rsidR="0068510A" w:rsidRPr="00DE1BD4">
        <w:t xml:space="preserve"> NETP is to</w:t>
      </w:r>
      <w:r w:rsidR="00A14C2A" w:rsidRPr="00DE1BD4">
        <w:t>:</w:t>
      </w:r>
    </w:p>
    <w:p w14:paraId="0F5098F1" w14:textId="1CAF778E" w:rsidR="00363D7C" w:rsidRPr="00DE1BD4" w:rsidRDefault="002E766F" w:rsidP="0040582E">
      <w:pPr>
        <w:pStyle w:val="ListParagraph"/>
        <w:numPr>
          <w:ilvl w:val="0"/>
          <w:numId w:val="8"/>
        </w:numPr>
      </w:pPr>
      <w:r w:rsidRPr="00DE1BD4">
        <w:t>D</w:t>
      </w:r>
      <w:r w:rsidR="00FA4381" w:rsidRPr="00DE1BD4">
        <w:t>escribe the legal</w:t>
      </w:r>
      <w:r w:rsidR="00C02B29" w:rsidRPr="00DE1BD4">
        <w:t xml:space="preserve"> and policy</w:t>
      </w:r>
      <w:r w:rsidR="00FA4381" w:rsidRPr="00DE1BD4">
        <w:t xml:space="preserve"> framework</w:t>
      </w:r>
      <w:r w:rsidR="00C02B29" w:rsidRPr="00DE1BD4">
        <w:t>s</w:t>
      </w:r>
      <w:r w:rsidR="00FA4381" w:rsidRPr="00DE1BD4">
        <w:t xml:space="preserve"> and organizational structures</w:t>
      </w:r>
      <w:r w:rsidR="00C9768D" w:rsidRPr="00DE1BD4">
        <w:t xml:space="preserve"> and mechanisms</w:t>
      </w:r>
      <w:r w:rsidR="00FA4381" w:rsidRPr="00DE1BD4">
        <w:t xml:space="preserve"> that currently exist </w:t>
      </w:r>
      <w:r w:rsidR="00711699" w:rsidRPr="00DE1BD4">
        <w:t xml:space="preserve">for </w:t>
      </w:r>
      <w:r w:rsidR="00BA4B03" w:rsidRPr="00DE1BD4">
        <w:t xml:space="preserve">each of the four phases of </w:t>
      </w:r>
      <w:r w:rsidR="00FA4381" w:rsidRPr="00DE1BD4">
        <w:t>disaster management</w:t>
      </w:r>
      <w:r w:rsidR="00711699" w:rsidRPr="00DE1BD4">
        <w:t xml:space="preserve"> in </w:t>
      </w:r>
      <w:r w:rsidR="007B46A4">
        <w:t>The Gambia</w:t>
      </w:r>
      <w:r w:rsidR="009A3D7B" w:rsidRPr="00DE1BD4">
        <w:t xml:space="preserve"> </w:t>
      </w:r>
      <w:r w:rsidR="00711699" w:rsidRPr="00DE1BD4">
        <w:t xml:space="preserve">in </w:t>
      </w:r>
      <w:r w:rsidR="00C64D1A" w:rsidRPr="00DE1BD4">
        <w:t>general and</w:t>
      </w:r>
      <w:r w:rsidR="00711699" w:rsidRPr="00DE1BD4">
        <w:t xml:space="preserve"> consider </w:t>
      </w:r>
      <w:r w:rsidR="00BA4B03" w:rsidRPr="00DE1BD4">
        <w:t xml:space="preserve">more </w:t>
      </w:r>
      <w:r w:rsidR="00711699" w:rsidRPr="00DE1BD4">
        <w:t xml:space="preserve">specifically </w:t>
      </w:r>
      <w:r w:rsidR="00C9768D" w:rsidRPr="00DE1BD4">
        <w:t xml:space="preserve">the </w:t>
      </w:r>
      <w:r w:rsidR="00711699" w:rsidRPr="00DE1BD4">
        <w:t xml:space="preserve">aspects of </w:t>
      </w:r>
      <w:r w:rsidR="00C9768D" w:rsidRPr="00DE1BD4">
        <w:t>each</w:t>
      </w:r>
      <w:r w:rsidR="00711699" w:rsidRPr="00DE1BD4">
        <w:t xml:space="preserve"> that apply to</w:t>
      </w:r>
      <w:r w:rsidR="00C02B29" w:rsidRPr="00DE1BD4">
        <w:t xml:space="preserve"> emergency</w:t>
      </w:r>
      <w:r w:rsidR="00711699" w:rsidRPr="00DE1BD4">
        <w:t xml:space="preserve"> </w:t>
      </w:r>
      <w:r w:rsidR="00C64D1A" w:rsidRPr="00DE1BD4">
        <w:t>telecommunications.</w:t>
      </w:r>
    </w:p>
    <w:p w14:paraId="60F8CF7F" w14:textId="09755AEE" w:rsidR="00363D7C" w:rsidRPr="00DE1BD4" w:rsidRDefault="00363D7C" w:rsidP="0040582E">
      <w:pPr>
        <w:pStyle w:val="ListParagraph"/>
        <w:numPr>
          <w:ilvl w:val="0"/>
          <w:numId w:val="8"/>
        </w:numPr>
      </w:pPr>
      <w:r w:rsidRPr="00DE1BD4">
        <w:t>Understand th</w:t>
      </w:r>
      <w:r w:rsidR="00DB2C2A" w:rsidRPr="00DE1BD4">
        <w:t>e</w:t>
      </w:r>
      <w:r w:rsidR="00D951F0" w:rsidRPr="00DE1BD4">
        <w:t xml:space="preserve"> potential</w:t>
      </w:r>
      <w:r w:rsidR="00DB2C2A" w:rsidRPr="00DE1BD4">
        <w:t xml:space="preserve"> </w:t>
      </w:r>
      <w:r w:rsidR="00C02B29" w:rsidRPr="00DE1BD4">
        <w:t xml:space="preserve">natural hazards that </w:t>
      </w:r>
      <w:r w:rsidR="0076478A" w:rsidRPr="00DE1BD4">
        <w:t>T</w:t>
      </w:r>
      <w:r w:rsidR="007B46A4">
        <w:t>he Gambia</w:t>
      </w:r>
      <w:r w:rsidR="00D951F0" w:rsidRPr="00DE1BD4">
        <w:t xml:space="preserve"> faces </w:t>
      </w:r>
      <w:r w:rsidR="00C73D5B" w:rsidRPr="00DE1BD4">
        <w:t xml:space="preserve">and </w:t>
      </w:r>
      <w:r w:rsidR="00C02B29" w:rsidRPr="00DE1BD4">
        <w:t xml:space="preserve">how the </w:t>
      </w:r>
      <w:r w:rsidRPr="00DE1BD4">
        <w:t>telecommunications infrastructure might be impacted by the</w:t>
      </w:r>
      <w:r w:rsidR="00D951F0" w:rsidRPr="00DE1BD4">
        <w:t>se</w:t>
      </w:r>
      <w:r w:rsidRPr="00DE1BD4">
        <w:t xml:space="preserve"> hazards</w:t>
      </w:r>
      <w:r w:rsidR="00D951F0" w:rsidRPr="00DE1BD4">
        <w:t>,</w:t>
      </w:r>
      <w:r w:rsidR="00DB2C2A" w:rsidRPr="00DE1BD4">
        <w:t xml:space="preserve"> </w:t>
      </w:r>
      <w:r w:rsidR="00C73D5B" w:rsidRPr="00DE1BD4">
        <w:t>so that contingency plans</w:t>
      </w:r>
      <w:r w:rsidR="00DF6FA5" w:rsidRPr="00DE1BD4">
        <w:t xml:space="preserve"> for communication</w:t>
      </w:r>
      <w:r w:rsidR="00C73D5B" w:rsidRPr="00DE1BD4">
        <w:t xml:space="preserve"> can be put in place</w:t>
      </w:r>
    </w:p>
    <w:p w14:paraId="6EEBCECE" w14:textId="6F9005C6" w:rsidR="00DF6FA5" w:rsidRPr="00DE1BD4" w:rsidRDefault="00DF6FA5" w:rsidP="0040582E">
      <w:pPr>
        <w:pStyle w:val="ListParagraph"/>
        <w:numPr>
          <w:ilvl w:val="0"/>
          <w:numId w:val="8"/>
        </w:numPr>
      </w:pPr>
      <w:r w:rsidRPr="00DE1BD4">
        <w:t>Explore how telecommunications/ICT can be used to monitor the hazards and prevent loss of life and livelihoods through early warning systems</w:t>
      </w:r>
    </w:p>
    <w:p w14:paraId="2B4CB3BA" w14:textId="37986D91" w:rsidR="00BA4B03" w:rsidRPr="00DE1BD4" w:rsidRDefault="002E766F" w:rsidP="0040582E">
      <w:pPr>
        <w:pStyle w:val="ListParagraph"/>
        <w:numPr>
          <w:ilvl w:val="0"/>
          <w:numId w:val="8"/>
        </w:numPr>
      </w:pPr>
      <w:r w:rsidRPr="00DE1BD4">
        <w:t>G</w:t>
      </w:r>
      <w:r w:rsidR="00BA4B03" w:rsidRPr="00DE1BD4">
        <w:t xml:space="preserve">uide the actions of the telecom/ICT sector to provide support and improve coordination between the different agents involved in disaster risk management in the </w:t>
      </w:r>
      <w:r w:rsidR="0039752E" w:rsidRPr="00DE1BD4">
        <w:t>country.</w:t>
      </w:r>
    </w:p>
    <w:p w14:paraId="29AB9727" w14:textId="3D7EE063" w:rsidR="002E766F" w:rsidRPr="00DE1BD4" w:rsidRDefault="002E766F" w:rsidP="0040582E">
      <w:pPr>
        <w:pStyle w:val="ListParagraph"/>
        <w:numPr>
          <w:ilvl w:val="0"/>
          <w:numId w:val="8"/>
        </w:numPr>
      </w:pPr>
      <w:r w:rsidRPr="00DE1BD4">
        <w:t xml:space="preserve">Pursue the strengthening of telecom/ICT infrastructure in </w:t>
      </w:r>
      <w:r w:rsidR="0076478A" w:rsidRPr="00DE1BD4">
        <w:t>T</w:t>
      </w:r>
      <w:r w:rsidR="007B46A4">
        <w:t>he Gambia</w:t>
      </w:r>
      <w:r w:rsidRPr="00DE1BD4">
        <w:t xml:space="preserve"> </w:t>
      </w:r>
      <w:r w:rsidR="00C67B1F" w:rsidRPr="00DE1BD4">
        <w:t>to</w:t>
      </w:r>
      <w:r w:rsidRPr="00DE1BD4">
        <w:t xml:space="preserve"> support efforts to mitigate disaster risk, and prepare for, respond to and recover from natural disasters.</w:t>
      </w:r>
    </w:p>
    <w:p w14:paraId="4D3E7D2E" w14:textId="280EDD46" w:rsidR="00A04676" w:rsidRPr="00DE1BD4" w:rsidRDefault="00AB1F8A" w:rsidP="00AB1F8A">
      <w:r w:rsidRPr="00DE1BD4">
        <w:t>Th</w:t>
      </w:r>
      <w:r w:rsidR="00E37D91" w:rsidRPr="00DE1BD4">
        <w:t>e</w:t>
      </w:r>
      <w:r w:rsidRPr="00DE1BD4">
        <w:t xml:space="preserve"> NETP is intended for all persons and institutions involved in </w:t>
      </w:r>
      <w:r w:rsidR="00932122">
        <w:t>D</w:t>
      </w:r>
      <w:r w:rsidRPr="00DE1BD4">
        <w:t xml:space="preserve">isaster </w:t>
      </w:r>
      <w:r w:rsidR="00932122">
        <w:t>R</w:t>
      </w:r>
      <w:r w:rsidRPr="00DE1BD4">
        <w:t xml:space="preserve">isk </w:t>
      </w:r>
      <w:r w:rsidR="00932122">
        <w:t>M</w:t>
      </w:r>
      <w:r w:rsidRPr="00DE1BD4">
        <w:t>anagement</w:t>
      </w:r>
      <w:r w:rsidR="00932122">
        <w:t xml:space="preserve"> (DRM)</w:t>
      </w:r>
      <w:r w:rsidRPr="00DE1BD4">
        <w:t xml:space="preserve"> in </w:t>
      </w:r>
      <w:r w:rsidR="002A66B9" w:rsidRPr="00DE1BD4">
        <w:t>T</w:t>
      </w:r>
      <w:r w:rsidR="00C67B1F">
        <w:t>he Gambia</w:t>
      </w:r>
      <w:r w:rsidRPr="00DE1BD4">
        <w:t xml:space="preserve">, including authorities at all levels of government, the private sector, and other actors in the </w:t>
      </w:r>
      <w:r w:rsidR="00AD76A8" w:rsidRPr="00DE1BD4">
        <w:t>telecom/ICT</w:t>
      </w:r>
      <w:r w:rsidRPr="00DE1BD4">
        <w:t xml:space="preserve"> and emergency aid sectors</w:t>
      </w:r>
      <w:r w:rsidR="00D54576" w:rsidRPr="00DE1BD4">
        <w:t>.</w:t>
      </w:r>
      <w:r w:rsidR="00E37D91" w:rsidRPr="00DE1BD4">
        <w:t xml:space="preserve"> </w:t>
      </w:r>
    </w:p>
    <w:p w14:paraId="6E05B96C" w14:textId="20EB17F7" w:rsidR="00A04676" w:rsidRPr="00DE1BD4" w:rsidRDefault="00A04676" w:rsidP="00A04676">
      <w:pPr>
        <w:pStyle w:val="NoNumber"/>
      </w:pPr>
      <w:bookmarkStart w:id="14" w:name="_Toc181885761"/>
      <w:r w:rsidRPr="00DE1BD4">
        <w:t>Structure of the NETP</w:t>
      </w:r>
      <w:bookmarkEnd w:id="14"/>
    </w:p>
    <w:p w14:paraId="76E14D3C" w14:textId="5419877C" w:rsidR="00AD6E8B" w:rsidRPr="00DE1BD4" w:rsidRDefault="00566C10" w:rsidP="00AD6E8B">
      <w:commentRangeStart w:id="15"/>
      <w:r w:rsidRPr="00DE1BD4">
        <w:t xml:space="preserve">This </w:t>
      </w:r>
      <w:commentRangeEnd w:id="15"/>
      <w:r w:rsidR="00B94088">
        <w:rPr>
          <w:rStyle w:val="CommentReference"/>
        </w:rPr>
        <w:commentReference w:id="15"/>
      </w:r>
      <w:r w:rsidRPr="00DE1BD4">
        <w:t>document is div</w:t>
      </w:r>
      <w:r w:rsidR="00605615" w:rsidRPr="00DE1BD4">
        <w:t>id</w:t>
      </w:r>
      <w:r w:rsidRPr="00DE1BD4">
        <w:t xml:space="preserve">ed into </w:t>
      </w:r>
      <w:r w:rsidR="000D6AA1" w:rsidRPr="00DE1BD4">
        <w:t>1</w:t>
      </w:r>
      <w:r w:rsidR="001F443A">
        <w:t>8</w:t>
      </w:r>
      <w:r w:rsidRPr="00DE1BD4">
        <w:t xml:space="preserve"> chapters. Chapter</w:t>
      </w:r>
      <w:r w:rsidR="00605615" w:rsidRPr="00DE1BD4">
        <w:t>s</w:t>
      </w:r>
      <w:r w:rsidRPr="00DE1BD4">
        <w:t xml:space="preserve"> 1-</w:t>
      </w:r>
      <w:r w:rsidR="00EB7D60" w:rsidRPr="00DE1BD4">
        <w:t>6</w:t>
      </w:r>
      <w:r w:rsidRPr="00DE1BD4">
        <w:t xml:space="preserve"> describe the existing institutional framework</w:t>
      </w:r>
      <w:r w:rsidR="00891173" w:rsidRPr="00DE1BD4">
        <w:t xml:space="preserve"> for emergency telecom/ICTs in </w:t>
      </w:r>
      <w:r w:rsidR="00FE2611">
        <w:t>The Gambia</w:t>
      </w:r>
      <w:r w:rsidR="00891173" w:rsidRPr="00DE1BD4">
        <w:t xml:space="preserve">. Chapters </w:t>
      </w:r>
      <w:r w:rsidR="004C756D">
        <w:t>7</w:t>
      </w:r>
      <w:r w:rsidR="00891173" w:rsidRPr="00DE1BD4">
        <w:t>-</w:t>
      </w:r>
      <w:r w:rsidR="00445179">
        <w:t>18</w:t>
      </w:r>
      <w:r w:rsidR="00891173" w:rsidRPr="00DE1BD4">
        <w:t xml:space="preserve"> refer to the main components that are considered for each of the four </w:t>
      </w:r>
      <w:r w:rsidR="00B40923" w:rsidRPr="00DE1BD4">
        <w:t>phases</w:t>
      </w:r>
      <w:r w:rsidR="00891173" w:rsidRPr="00DE1BD4">
        <w:t xml:space="preserve"> of DRM and delineate recommendations</w:t>
      </w:r>
      <w:r w:rsidR="00C97ADC" w:rsidRPr="00DE1BD4">
        <w:t xml:space="preserve"> that need to be carried out to continue developing</w:t>
      </w:r>
      <w:r w:rsidR="00605615" w:rsidRPr="00DE1BD4">
        <w:t xml:space="preserve"> </w:t>
      </w:r>
      <w:r w:rsidR="00C97ADC" w:rsidRPr="00DE1BD4">
        <w:t>a</w:t>
      </w:r>
      <w:r w:rsidR="00605615" w:rsidRPr="00DE1BD4">
        <w:t>n</w:t>
      </w:r>
      <w:r w:rsidR="00C97ADC" w:rsidRPr="00DE1BD4">
        <w:t xml:space="preserve">d updating the NETP. </w:t>
      </w:r>
      <w:r w:rsidR="007A363E" w:rsidRPr="00DE1BD4">
        <w:t xml:space="preserve">Chapters </w:t>
      </w:r>
      <w:r w:rsidR="000C3544" w:rsidRPr="00DE1BD4">
        <w:t>7</w:t>
      </w:r>
      <w:r w:rsidR="007A363E" w:rsidRPr="00DE1BD4">
        <w:t xml:space="preserve"> through 9</w:t>
      </w:r>
      <w:r w:rsidR="008C43B2" w:rsidRPr="00DE1BD4">
        <w:t xml:space="preserve"> correspond</w:t>
      </w:r>
      <w:r w:rsidR="007A363E" w:rsidRPr="00DE1BD4">
        <w:t xml:space="preserve"> to the mitigation phase of DRM and deal with such topics as the country’s vulnerability to natural hazards, the current state of the telecom/ICT sector, and the establishment of a specific telecom/ICT regulatory framework for DRM. Chapters 10 through 14 correspond to the preparedness phase of DRM and include topics related to telecom/ICT standard operating procedures, contingency planning, and early warning systems. The response phase of DRM is covered in Chapters 15 through 1</w:t>
      </w:r>
      <w:r w:rsidR="008C43B2" w:rsidRPr="00DE1BD4">
        <w:t>6</w:t>
      </w:r>
      <w:r w:rsidR="007A363E" w:rsidRPr="00DE1BD4">
        <w:t>, which discuss topics like communication and coordination</w:t>
      </w:r>
      <w:r w:rsidR="00605615" w:rsidRPr="00DE1BD4">
        <w:t xml:space="preserve"> during any emergency response, collection and analysis of information, and emergency awareness and updates. Finally, the recovery phase for DRM is addressed in Chapters 1</w:t>
      </w:r>
      <w:r w:rsidR="008C43B2" w:rsidRPr="00DE1BD4">
        <w:t>7</w:t>
      </w:r>
      <w:r w:rsidR="00605615" w:rsidRPr="00DE1BD4">
        <w:t xml:space="preserve"> and 1</w:t>
      </w:r>
      <w:r w:rsidR="008C43B2" w:rsidRPr="00DE1BD4">
        <w:t>8</w:t>
      </w:r>
      <w:r w:rsidR="00605615" w:rsidRPr="00DE1BD4">
        <w:t>, which present topics such as the assessment of damage to the telecom/ICT infrastructure, and the reconstruction and follow- up activities will need to be carried out after the disaster.</w:t>
      </w:r>
    </w:p>
    <w:p w14:paraId="64566DD5" w14:textId="58BCA9C2" w:rsidR="003227E9" w:rsidRPr="00DE1BD4" w:rsidRDefault="003227E9">
      <w:pPr>
        <w:jc w:val="left"/>
      </w:pPr>
      <w:r w:rsidRPr="00DE1BD4">
        <w:br w:type="page"/>
      </w:r>
    </w:p>
    <w:p w14:paraId="55D1A904" w14:textId="2B2A72A1" w:rsidR="000B0196" w:rsidRPr="00DE1BD4" w:rsidRDefault="000B0196" w:rsidP="005576E2">
      <w:pPr>
        <w:pStyle w:val="NoNumber"/>
      </w:pPr>
      <w:bookmarkStart w:id="16" w:name="_2et92p0"/>
      <w:bookmarkStart w:id="17" w:name="_Toc90825938"/>
      <w:bookmarkStart w:id="18" w:name="_Toc91172589"/>
      <w:bookmarkStart w:id="19" w:name="_Toc91185476"/>
      <w:bookmarkStart w:id="20" w:name="_Toc181885762"/>
      <w:bookmarkEnd w:id="16"/>
      <w:r w:rsidRPr="00E769E0">
        <w:t xml:space="preserve">Summary of </w:t>
      </w:r>
      <w:r w:rsidR="00D510FB" w:rsidRPr="00E769E0">
        <w:t xml:space="preserve">the </w:t>
      </w:r>
      <w:bookmarkEnd w:id="17"/>
      <w:bookmarkEnd w:id="18"/>
      <w:bookmarkEnd w:id="19"/>
      <w:r w:rsidR="000A52F6" w:rsidRPr="00E769E0">
        <w:t>Implementation</w:t>
      </w:r>
      <w:r w:rsidR="000A52F6" w:rsidRPr="00DE1BD4">
        <w:t xml:space="preserve"> </w:t>
      </w:r>
      <w:r w:rsidR="00373206" w:rsidRPr="00DE1BD4">
        <w:t xml:space="preserve">Actions for </w:t>
      </w:r>
      <w:r w:rsidR="00FE2611">
        <w:t>The Gambia</w:t>
      </w:r>
      <w:bookmarkEnd w:id="20"/>
    </w:p>
    <w:p w14:paraId="0F7449E8" w14:textId="77777777" w:rsidR="00E769E0" w:rsidRPr="002160E7" w:rsidRDefault="00E769E0" w:rsidP="00E769E0">
      <w:pPr>
        <w:jc w:val="center"/>
        <w:rPr>
          <w:b/>
          <w:bCs/>
        </w:rPr>
      </w:pPr>
      <w:r w:rsidRPr="002160E7">
        <w:rPr>
          <w:b/>
          <w:bCs/>
          <w:highlight w:val="yellow"/>
        </w:rPr>
        <w:t>To be updated following stakeholder consultation</w:t>
      </w:r>
    </w:p>
    <w:p w14:paraId="017D7655" w14:textId="3B5C29DE" w:rsidR="000B0196" w:rsidRPr="00DE1BD4" w:rsidRDefault="000B0196" w:rsidP="000B0196">
      <w:r w:rsidRPr="00DE1BD4">
        <w:t xml:space="preserve">The following Action Items </w:t>
      </w:r>
      <w:r w:rsidR="00C86358" w:rsidRPr="00DE1BD4">
        <w:t xml:space="preserve">are </w:t>
      </w:r>
      <w:r w:rsidR="000D32BF" w:rsidRPr="00DE1BD4">
        <w:t>identified for consideration</w:t>
      </w:r>
      <w:r w:rsidRPr="00DE1BD4">
        <w:t xml:space="preserve"> </w:t>
      </w:r>
      <w:r w:rsidR="007269D7">
        <w:t>for implementation</w:t>
      </w:r>
      <w:r w:rsidRPr="00DE1BD4">
        <w:t>:</w:t>
      </w:r>
    </w:p>
    <w:p w14:paraId="6382E0AD" w14:textId="5080F2B2" w:rsidR="009A6C50" w:rsidRPr="00DE1BD4" w:rsidRDefault="009A6C50" w:rsidP="009A6C50">
      <w:pPr>
        <w:rPr>
          <w:b/>
          <w:bCs/>
          <w:i/>
          <w:iCs/>
          <w:color w:val="4472C4" w:themeColor="accent1"/>
        </w:rPr>
      </w:pPr>
      <w:bookmarkStart w:id="21" w:name="_Hlk167777606"/>
      <w:r w:rsidRPr="00DE1BD4">
        <w:rPr>
          <w:b/>
          <w:bCs/>
          <w:i/>
          <w:iCs/>
          <w:color w:val="4472C4" w:themeColor="accent1"/>
        </w:rPr>
        <w:t>Item 1: Laws and Regulations for DRM and National Disaster Management Plans</w:t>
      </w:r>
    </w:p>
    <w:p w14:paraId="2EF23706" w14:textId="4BE61AEF" w:rsidR="009A6C50" w:rsidRPr="00DE1BD4" w:rsidRDefault="009A6C50" w:rsidP="009A6C50">
      <w:pPr>
        <w:rPr>
          <w:i/>
          <w:iCs/>
        </w:rPr>
      </w:pPr>
      <w:r w:rsidRPr="00DE1BD4">
        <w:rPr>
          <w:i/>
          <w:iCs/>
        </w:rPr>
        <w:t>In case these are not currently in place, high-level laws and regulations for DRM should be established. This comprehensive legal, policy, and institutional framework should be based on the existing DRM policy and include national disaster management plans and be specific in defining the agencies accountable for developing emergency sectorial regulations.</w:t>
      </w:r>
    </w:p>
    <w:bookmarkEnd w:id="21"/>
    <w:p w14:paraId="26B86487" w14:textId="581B2241" w:rsidR="00965886" w:rsidRPr="00DE1BD4" w:rsidRDefault="00965886" w:rsidP="009A6C50">
      <w:pPr>
        <w:rPr>
          <w:b/>
          <w:bCs/>
          <w:i/>
          <w:iCs/>
          <w:color w:val="4472C4" w:themeColor="accent1"/>
        </w:rPr>
      </w:pPr>
      <w:r w:rsidRPr="00DE1BD4">
        <w:rPr>
          <w:b/>
          <w:bCs/>
          <w:i/>
          <w:iCs/>
          <w:color w:val="4472C4" w:themeColor="accent1"/>
        </w:rPr>
        <w:t>Implementation</w:t>
      </w:r>
    </w:p>
    <w:p w14:paraId="6A79F16D" w14:textId="77777777" w:rsidR="0047209E" w:rsidRPr="0047209E" w:rsidRDefault="0047209E" w:rsidP="0047209E">
      <w:pPr>
        <w:rPr>
          <w:rFonts w:asciiTheme="minorHAnsi" w:hAnsiTheme="minorHAnsi" w:cstheme="minorHAnsi"/>
          <w:b/>
          <w:bCs/>
          <w:i/>
          <w:iCs/>
        </w:rPr>
      </w:pPr>
      <w:bookmarkStart w:id="22" w:name="_Hlk180658069"/>
      <w:r w:rsidRPr="0047209E">
        <w:rPr>
          <w:rFonts w:asciiTheme="minorHAnsi" w:hAnsiTheme="minorHAnsi" w:cstheme="minorHAnsi"/>
          <w:b/>
          <w:bCs/>
          <w:i/>
          <w:iCs/>
        </w:rPr>
        <w:t>It is clear that, at least at this legislative and policy levels, DRR has been actively considered and attempts have been made to provide for the mainstreaming of DRR at all levels in various sectors. For the most part, the legislation, policies and plans are outdated and require review and enhancement to address any shortcomings when considered against best practice examples.</w:t>
      </w:r>
    </w:p>
    <w:p w14:paraId="632FD204" w14:textId="77777777" w:rsidR="0047209E" w:rsidRPr="0047209E" w:rsidRDefault="0047209E" w:rsidP="0047209E">
      <w:pPr>
        <w:rPr>
          <w:rFonts w:asciiTheme="minorHAnsi" w:hAnsiTheme="minorHAnsi" w:cstheme="minorHAnsi"/>
          <w:b/>
          <w:bCs/>
          <w:i/>
          <w:iCs/>
        </w:rPr>
      </w:pPr>
      <w:r w:rsidRPr="0047209E">
        <w:rPr>
          <w:rFonts w:asciiTheme="minorHAnsi" w:hAnsiTheme="minorHAnsi" w:cstheme="minorHAnsi"/>
          <w:b/>
          <w:bCs/>
          <w:i/>
          <w:iCs/>
        </w:rPr>
        <w:t>The opportunities for enhancement should consider</w:t>
      </w:r>
    </w:p>
    <w:p w14:paraId="3C98C11D" w14:textId="77777777" w:rsidR="0047209E" w:rsidRPr="0047209E" w:rsidRDefault="0047209E" w:rsidP="00963CF3">
      <w:pPr>
        <w:pStyle w:val="ListParagraph"/>
        <w:numPr>
          <w:ilvl w:val="0"/>
          <w:numId w:val="55"/>
        </w:numPr>
        <w:rPr>
          <w:rFonts w:asciiTheme="minorHAnsi" w:hAnsiTheme="minorHAnsi" w:cstheme="minorHAnsi"/>
          <w:b/>
          <w:bCs/>
          <w:i/>
          <w:iCs/>
        </w:rPr>
      </w:pPr>
      <w:r w:rsidRPr="0047209E">
        <w:rPr>
          <w:rFonts w:asciiTheme="minorHAnsi" w:hAnsiTheme="minorHAnsi" w:cstheme="minorHAnsi"/>
          <w:b/>
          <w:bCs/>
          <w:i/>
          <w:iCs/>
        </w:rPr>
        <w:t xml:space="preserve">The role of Information Technology and Communications within the DRM framework and particularly with respect to defining and leading these sectors during a disaster situation. </w:t>
      </w:r>
    </w:p>
    <w:p w14:paraId="4B355152" w14:textId="77777777" w:rsidR="0047209E" w:rsidRPr="0047209E" w:rsidRDefault="0047209E" w:rsidP="00963CF3">
      <w:pPr>
        <w:pStyle w:val="ListParagraph"/>
        <w:numPr>
          <w:ilvl w:val="0"/>
          <w:numId w:val="55"/>
        </w:numPr>
        <w:rPr>
          <w:rFonts w:asciiTheme="minorHAnsi" w:hAnsiTheme="minorHAnsi" w:cstheme="minorHAnsi"/>
          <w:b/>
          <w:bCs/>
          <w:i/>
          <w:iCs/>
        </w:rPr>
      </w:pPr>
      <w:r w:rsidRPr="0047209E">
        <w:rPr>
          <w:rFonts w:asciiTheme="minorHAnsi" w:hAnsiTheme="minorHAnsi" w:cstheme="minorHAnsi"/>
          <w:b/>
          <w:bCs/>
          <w:i/>
          <w:iCs/>
        </w:rPr>
        <w:t>Stronger policy and regulation on the implementation of early warning systems.</w:t>
      </w:r>
    </w:p>
    <w:p w14:paraId="577DA42F" w14:textId="77777777" w:rsidR="0047209E" w:rsidRPr="0047209E" w:rsidRDefault="0047209E" w:rsidP="00963CF3">
      <w:pPr>
        <w:pStyle w:val="ListParagraph"/>
        <w:numPr>
          <w:ilvl w:val="0"/>
          <w:numId w:val="55"/>
        </w:numPr>
        <w:rPr>
          <w:rFonts w:asciiTheme="minorHAnsi" w:hAnsiTheme="minorHAnsi" w:cstheme="minorHAnsi"/>
          <w:b/>
          <w:bCs/>
          <w:i/>
          <w:iCs/>
        </w:rPr>
      </w:pPr>
      <w:r w:rsidRPr="0047209E">
        <w:rPr>
          <w:rFonts w:asciiTheme="minorHAnsi" w:hAnsiTheme="minorHAnsi" w:cstheme="minorHAnsi"/>
          <w:b/>
          <w:bCs/>
          <w:i/>
          <w:iCs/>
        </w:rPr>
        <w:t>Stronger policy surrounding agencies implementing monitoring systems to ensure that the NDMA is notified of such systems.</w:t>
      </w:r>
    </w:p>
    <w:p w14:paraId="0A108069" w14:textId="77777777" w:rsidR="0047209E" w:rsidRPr="0047209E" w:rsidRDefault="0047209E" w:rsidP="00963CF3">
      <w:pPr>
        <w:pStyle w:val="ListParagraph"/>
        <w:numPr>
          <w:ilvl w:val="0"/>
          <w:numId w:val="55"/>
        </w:numPr>
        <w:rPr>
          <w:rFonts w:asciiTheme="minorHAnsi" w:hAnsiTheme="minorHAnsi" w:cstheme="minorHAnsi"/>
          <w:b/>
          <w:bCs/>
          <w:i/>
          <w:iCs/>
        </w:rPr>
      </w:pPr>
      <w:r w:rsidRPr="0047209E">
        <w:rPr>
          <w:rFonts w:asciiTheme="minorHAnsi" w:hAnsiTheme="minorHAnsi" w:cstheme="minorHAnsi"/>
          <w:b/>
          <w:bCs/>
          <w:i/>
          <w:iCs/>
        </w:rPr>
        <w:t>Clarity with respect to duty exemptions for disaster relief goods and materials</w:t>
      </w:r>
    </w:p>
    <w:p w14:paraId="361AEDBF" w14:textId="77777777" w:rsidR="0047209E" w:rsidRPr="0047209E" w:rsidRDefault="0047209E" w:rsidP="00963CF3">
      <w:pPr>
        <w:pStyle w:val="ListParagraph"/>
        <w:numPr>
          <w:ilvl w:val="0"/>
          <w:numId w:val="55"/>
        </w:numPr>
        <w:rPr>
          <w:rFonts w:asciiTheme="minorHAnsi" w:hAnsiTheme="minorHAnsi" w:cstheme="minorHAnsi"/>
          <w:b/>
          <w:bCs/>
          <w:i/>
          <w:iCs/>
        </w:rPr>
      </w:pPr>
      <w:r w:rsidRPr="0047209E">
        <w:rPr>
          <w:rFonts w:asciiTheme="minorHAnsi" w:hAnsiTheme="minorHAnsi" w:cstheme="minorHAnsi"/>
          <w:b/>
          <w:bCs/>
          <w:i/>
          <w:iCs/>
        </w:rPr>
        <w:t>Stronger community involvement.</w:t>
      </w:r>
    </w:p>
    <w:p w14:paraId="421F9BAB" w14:textId="77777777" w:rsidR="0047209E" w:rsidRPr="0047209E" w:rsidRDefault="0047209E" w:rsidP="00963CF3">
      <w:pPr>
        <w:pStyle w:val="ListParagraph"/>
        <w:numPr>
          <w:ilvl w:val="0"/>
          <w:numId w:val="55"/>
        </w:numPr>
        <w:rPr>
          <w:rFonts w:asciiTheme="minorHAnsi" w:hAnsiTheme="minorHAnsi" w:cstheme="minorHAnsi"/>
          <w:b/>
          <w:bCs/>
          <w:i/>
          <w:iCs/>
        </w:rPr>
      </w:pPr>
      <w:r w:rsidRPr="0047209E">
        <w:rPr>
          <w:rFonts w:asciiTheme="minorHAnsi" w:hAnsiTheme="minorHAnsi" w:cstheme="minorHAnsi"/>
          <w:b/>
          <w:bCs/>
          <w:i/>
          <w:iCs/>
        </w:rPr>
        <w:t>Consideration of the role of woman and those disadvantaged.</w:t>
      </w:r>
    </w:p>
    <w:p w14:paraId="3C95EE61" w14:textId="51A3BC72" w:rsidR="004F7FAB" w:rsidRPr="004F7FAB" w:rsidRDefault="0047209E" w:rsidP="0047209E">
      <w:pPr>
        <w:rPr>
          <w:rFonts w:asciiTheme="minorHAnsi" w:hAnsiTheme="minorHAnsi" w:cstheme="minorHAnsi"/>
          <w:b/>
          <w:bCs/>
          <w:i/>
          <w:iCs/>
        </w:rPr>
      </w:pPr>
      <w:r w:rsidRPr="0047209E">
        <w:rPr>
          <w:rFonts w:asciiTheme="minorHAnsi" w:hAnsiTheme="minorHAnsi" w:cstheme="minorHAnsi"/>
          <w:b/>
          <w:bCs/>
          <w:i/>
          <w:iCs/>
        </w:rPr>
        <w:t>As an implementation task the NDMA should consider a holistic review of the DRM framework, legislation and policies and compare against best practice examples</w:t>
      </w:r>
      <w:r w:rsidR="004F7FAB" w:rsidRPr="004F7FAB">
        <w:rPr>
          <w:rFonts w:asciiTheme="minorHAnsi" w:hAnsiTheme="minorHAnsi" w:cstheme="minorHAnsi"/>
          <w:b/>
          <w:bCs/>
          <w:i/>
          <w:iCs/>
        </w:rPr>
        <w:t xml:space="preserve">. </w:t>
      </w:r>
    </w:p>
    <w:bookmarkEnd w:id="22"/>
    <w:p w14:paraId="2DCB093A" w14:textId="458EB84C" w:rsidR="009A6C50" w:rsidRPr="00DE1BD4" w:rsidRDefault="009A6C50" w:rsidP="009A6C50">
      <w:pPr>
        <w:rPr>
          <w:b/>
          <w:bCs/>
          <w:i/>
          <w:iCs/>
          <w:color w:val="4472C4" w:themeColor="accent1"/>
        </w:rPr>
      </w:pPr>
      <w:r w:rsidRPr="00DE1BD4">
        <w:rPr>
          <w:b/>
          <w:bCs/>
          <w:i/>
          <w:iCs/>
          <w:color w:val="4472C4" w:themeColor="accent1"/>
        </w:rPr>
        <w:t>Item 2: National Disaster Plan and National Emergency Telecommunications Plan</w:t>
      </w:r>
    </w:p>
    <w:p w14:paraId="612DC93D" w14:textId="40DCC828" w:rsidR="009A6C50" w:rsidRPr="00DE1BD4" w:rsidRDefault="009A6C50" w:rsidP="009A6C50">
      <w:pPr>
        <w:rPr>
          <w:i/>
          <w:iCs/>
        </w:rPr>
      </w:pPr>
      <w:r w:rsidRPr="00DE1BD4">
        <w:rPr>
          <w:i/>
          <w:iCs/>
        </w:rPr>
        <w:t xml:space="preserve">Each </w:t>
      </w:r>
      <w:r w:rsidR="00431C2F">
        <w:rPr>
          <w:i/>
          <w:iCs/>
        </w:rPr>
        <w:t>Countries</w:t>
      </w:r>
      <w:r w:rsidRPr="00DE1BD4">
        <w:rPr>
          <w:i/>
          <w:iCs/>
        </w:rPr>
        <w:t xml:space="preserve"> National Disaster Plan and National Emergency Telecommunications Plan should be developed or updated based on the legislation for DRM currently in force in each country.</w:t>
      </w:r>
    </w:p>
    <w:p w14:paraId="2D886370"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749DB5DC" w14:textId="77777777" w:rsidR="00AB1A1D" w:rsidRPr="00DE1BD4" w:rsidRDefault="00AB1A1D" w:rsidP="00AB1A1D">
      <w:pPr>
        <w:rPr>
          <w:rFonts w:asciiTheme="minorHAnsi" w:hAnsiTheme="minorHAnsi" w:cstheme="minorHAnsi"/>
          <w:b/>
          <w:bCs/>
          <w:i/>
          <w:iCs/>
        </w:rPr>
      </w:pPr>
      <w:r w:rsidRPr="006C74BA">
        <w:rPr>
          <w:rFonts w:asciiTheme="minorHAnsi" w:hAnsiTheme="minorHAnsi" w:cstheme="minorHAnsi"/>
          <w:b/>
          <w:bCs/>
          <w:i/>
          <w:iCs/>
        </w:rPr>
        <w:t>Implementation Task 2</w:t>
      </w:r>
    </w:p>
    <w:p w14:paraId="57DA388B" w14:textId="4AABD1DC" w:rsidR="00CE012B" w:rsidRPr="00CE012B" w:rsidRDefault="00841A30" w:rsidP="00CE012B">
      <w:pPr>
        <w:rPr>
          <w:rFonts w:asciiTheme="minorHAnsi" w:hAnsiTheme="minorHAnsi" w:cstheme="minorHAnsi"/>
          <w:b/>
          <w:bCs/>
        </w:rPr>
      </w:pPr>
      <w:r w:rsidRPr="00841A30">
        <w:rPr>
          <w:rFonts w:asciiTheme="minorHAnsi" w:hAnsiTheme="minorHAnsi" w:cstheme="minorHAnsi"/>
          <w:b/>
          <w:bCs/>
          <w:i/>
          <w:iCs/>
        </w:rPr>
        <w:t>The key implementation task from this section is the development and completion of the Namibian NETP. However, there are several other plans that are now seen as out of date and should be reviewed and brought into a best practice position.</w:t>
      </w:r>
    </w:p>
    <w:p w14:paraId="4745490A" w14:textId="11A267A2" w:rsidR="009A6C50" w:rsidRPr="00DE1BD4" w:rsidRDefault="009A6C50" w:rsidP="009A6C50">
      <w:pPr>
        <w:rPr>
          <w:b/>
          <w:i/>
          <w:iCs/>
          <w:color w:val="4472C4" w:themeColor="accent1"/>
        </w:rPr>
      </w:pPr>
      <w:r w:rsidRPr="00DE1BD4">
        <w:rPr>
          <w:b/>
          <w:i/>
          <w:iCs/>
          <w:color w:val="4472C4" w:themeColor="accent1"/>
        </w:rPr>
        <w:t xml:space="preserve">Item </w:t>
      </w:r>
      <w:r w:rsidR="002652F2">
        <w:rPr>
          <w:b/>
          <w:i/>
          <w:iCs/>
          <w:color w:val="4472C4" w:themeColor="accent1"/>
        </w:rPr>
        <w:t>3</w:t>
      </w:r>
      <w:r w:rsidRPr="00DE1BD4">
        <w:rPr>
          <w:b/>
          <w:i/>
          <w:iCs/>
          <w:color w:val="4472C4" w:themeColor="accent1"/>
        </w:rPr>
        <w:t>: Responsibilities and activities for the Ministry responsible for Telecom/ICT and the Telecoms NRA</w:t>
      </w:r>
    </w:p>
    <w:p w14:paraId="480FD841" w14:textId="77777777" w:rsidR="009A6C50" w:rsidRDefault="009A6C50" w:rsidP="001A0757">
      <w:pPr>
        <w:spacing w:after="0" w:line="240" w:lineRule="auto"/>
        <w:rPr>
          <w:i/>
          <w:iCs/>
        </w:rPr>
      </w:pPr>
      <w:r w:rsidRPr="001A0757">
        <w:rPr>
          <w:i/>
          <w:iCs/>
        </w:rPr>
        <w:t>Based on the general national DRM laws and regulations, the Government should define the clear responsibilities and activities for the Ministry responsible for telecom/ICT and the Telecoms NRA in each Member State. These should include the specific roles that the Ministry and the Telecoms NRA must play within the general DRM system, and the roles and representation they have within the sectoral committees or sub-committees for DRM in each Member State.</w:t>
      </w:r>
    </w:p>
    <w:p w14:paraId="368FCFB4" w14:textId="77777777" w:rsidR="001A0757" w:rsidRPr="001A0757" w:rsidRDefault="001A0757" w:rsidP="001A0757">
      <w:pPr>
        <w:spacing w:after="0" w:line="240" w:lineRule="auto"/>
        <w:rPr>
          <w:i/>
          <w:iCs/>
        </w:rPr>
      </w:pPr>
    </w:p>
    <w:p w14:paraId="7E2D4514"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2865F63D" w14:textId="347946A8" w:rsidR="00A11EB7" w:rsidRPr="00A11EB7" w:rsidRDefault="00A11EB7" w:rsidP="00A11EB7">
      <w:pPr>
        <w:rPr>
          <w:b/>
          <w:i/>
          <w:iCs/>
        </w:rPr>
      </w:pPr>
      <w:r w:rsidRPr="00A11EB7">
        <w:rPr>
          <w:b/>
          <w:i/>
          <w:iCs/>
        </w:rPr>
        <w:t>Many provisions are in place for DRM, either in existing plans or in associated legislation and policy.  However, in many cases the plans are out of date and consequently do not align with what would be considered best practice. Similarly, provisions in legislation should be clarified to clearly show those provisions that align with DRM activities.</w:t>
      </w:r>
    </w:p>
    <w:p w14:paraId="09DA3FD1" w14:textId="77777777" w:rsidR="002663BF" w:rsidRPr="00A11EB7" w:rsidRDefault="002663BF" w:rsidP="002663BF">
      <w:pPr>
        <w:pStyle w:val="ListParagraph"/>
        <w:numPr>
          <w:ilvl w:val="0"/>
          <w:numId w:val="33"/>
        </w:numPr>
        <w:rPr>
          <w:b/>
          <w:i/>
          <w:iCs/>
        </w:rPr>
      </w:pPr>
      <w:r w:rsidRPr="00A11EB7">
        <w:rPr>
          <w:b/>
          <w:i/>
          <w:iCs/>
        </w:rPr>
        <w:t>A National Emergency Telecommunications group/cluster should be established that provides input into the NETP on an ongoing basis and take part in the implementation tasks identified in the NETP</w:t>
      </w:r>
    </w:p>
    <w:p w14:paraId="2AFC19E4" w14:textId="77777777" w:rsidR="002663BF" w:rsidRPr="00A11EB7" w:rsidRDefault="002663BF" w:rsidP="002663BF">
      <w:pPr>
        <w:pStyle w:val="ListParagraph"/>
        <w:numPr>
          <w:ilvl w:val="0"/>
          <w:numId w:val="33"/>
        </w:numPr>
        <w:rPr>
          <w:b/>
          <w:i/>
          <w:iCs/>
        </w:rPr>
      </w:pPr>
      <w:r w:rsidRPr="00A11EB7">
        <w:rPr>
          <w:b/>
          <w:i/>
          <w:iCs/>
        </w:rPr>
        <w:t>A Terms of Reference (</w:t>
      </w:r>
      <w:proofErr w:type="spellStart"/>
      <w:r w:rsidRPr="00A11EB7">
        <w:rPr>
          <w:b/>
          <w:i/>
          <w:iCs/>
        </w:rPr>
        <w:t>ToR</w:t>
      </w:r>
      <w:proofErr w:type="spellEnd"/>
      <w:r w:rsidRPr="00A11EB7">
        <w:rPr>
          <w:b/>
          <w:i/>
          <w:iCs/>
        </w:rPr>
        <w:t>) for this cluster including appropriate information on members should be developed as an addendum to this NETP</w:t>
      </w:r>
    </w:p>
    <w:p w14:paraId="6AA45481" w14:textId="77777777" w:rsidR="00A11EB7" w:rsidRPr="00A11EB7" w:rsidRDefault="00A11EB7" w:rsidP="00963CF3">
      <w:pPr>
        <w:pStyle w:val="ListParagraph"/>
        <w:numPr>
          <w:ilvl w:val="0"/>
          <w:numId w:val="33"/>
        </w:numPr>
        <w:rPr>
          <w:b/>
          <w:i/>
          <w:iCs/>
        </w:rPr>
      </w:pPr>
      <w:r w:rsidRPr="00A11EB7">
        <w:rPr>
          <w:b/>
          <w:i/>
          <w:iCs/>
        </w:rPr>
        <w:t>The National Disaster Management Policy should be reviewed and updated, particularly regarding the Sectors and the functions associated with the sectors. A clear communications sector should be implemented into this plan to show the importance and relationship of telecommunications to DRM</w:t>
      </w:r>
    </w:p>
    <w:p w14:paraId="3D4ACA9B" w14:textId="638F93F4" w:rsidR="00A11EB7" w:rsidRPr="00A11EB7" w:rsidRDefault="00A11EB7" w:rsidP="00963CF3">
      <w:pPr>
        <w:pStyle w:val="ListParagraph"/>
        <w:numPr>
          <w:ilvl w:val="0"/>
          <w:numId w:val="33"/>
        </w:numPr>
        <w:rPr>
          <w:b/>
          <w:i/>
          <w:iCs/>
        </w:rPr>
      </w:pPr>
      <w:r w:rsidRPr="00A11EB7">
        <w:rPr>
          <w:b/>
          <w:i/>
          <w:iCs/>
        </w:rPr>
        <w:t>Provisions identified should be clearly identified in the appropriate legislation and regulations as to their relationship to DRM.</w:t>
      </w:r>
    </w:p>
    <w:p w14:paraId="310BEE97" w14:textId="6CFBC186" w:rsidR="00BC642E" w:rsidRPr="00BC642E" w:rsidRDefault="00BC642E" w:rsidP="00BC642E">
      <w:pPr>
        <w:rPr>
          <w:b/>
          <w:i/>
          <w:iCs/>
          <w:color w:val="4472C4" w:themeColor="accent1"/>
        </w:rPr>
      </w:pPr>
      <w:r w:rsidRPr="00BC642E">
        <w:rPr>
          <w:b/>
          <w:i/>
          <w:iCs/>
          <w:color w:val="4472C4" w:themeColor="accent1"/>
        </w:rPr>
        <w:t>Item 4: Provisions for Emergency Telecom/ICTs</w:t>
      </w:r>
    </w:p>
    <w:p w14:paraId="31CCE6E1" w14:textId="28BAA761" w:rsidR="00BC642E" w:rsidRPr="00BC642E" w:rsidRDefault="00BC642E" w:rsidP="00BC642E">
      <w:pPr>
        <w:rPr>
          <w:bCs/>
          <w:i/>
          <w:iCs/>
        </w:rPr>
      </w:pPr>
      <w:r w:rsidRPr="00BC642E">
        <w:rPr>
          <w:bCs/>
          <w:i/>
          <w:iCs/>
        </w:rPr>
        <w:t>Based on the mandate of a high-level DRM law or policy, the responsible agency for developing regulations for emergency telecom/ICTs should make provisions for different topics related to emergency telecom/ICTs for all phases of DRM (mitigation, preparedness, responses, and recovery).</w:t>
      </w:r>
    </w:p>
    <w:p w14:paraId="1CC21F48" w14:textId="77777777" w:rsidR="00BC642E" w:rsidRPr="00CA1D40" w:rsidRDefault="00BC642E" w:rsidP="00BC642E">
      <w:pPr>
        <w:rPr>
          <w:b/>
          <w:i/>
          <w:iCs/>
          <w:color w:val="0070C0"/>
        </w:rPr>
      </w:pPr>
      <w:r w:rsidRPr="00CA1D40">
        <w:rPr>
          <w:b/>
          <w:i/>
          <w:iCs/>
          <w:color w:val="0070C0"/>
        </w:rPr>
        <w:t>Implementation</w:t>
      </w:r>
    </w:p>
    <w:p w14:paraId="4A7E27E2" w14:textId="77777777" w:rsidR="0024365B" w:rsidRPr="0024365B" w:rsidRDefault="0024365B" w:rsidP="0024365B">
      <w:pPr>
        <w:pBdr>
          <w:top w:val="nil"/>
          <w:left w:val="nil"/>
          <w:bottom w:val="nil"/>
          <w:right w:val="nil"/>
          <w:between w:val="nil"/>
        </w:pBdr>
        <w:spacing w:line="240" w:lineRule="auto"/>
        <w:rPr>
          <w:b/>
          <w:bCs/>
          <w:i/>
          <w:iCs/>
        </w:rPr>
      </w:pPr>
      <w:r w:rsidRPr="0024365B">
        <w:rPr>
          <w:b/>
          <w:bCs/>
          <w:i/>
          <w:iCs/>
        </w:rPr>
        <w:t xml:space="preserve">The Public Utilities Regulatory Authority (PURA) is responsible for establishing specific regulations for the telecom/ICT sector on disaster risk management. These regulations should be based on its functions granted by legislation, encouraging telecom/ICT network and service providers to actively participate in each of the phases of disaster risk management. Consequently, PURA should review and enhance the regulatory framework that facilitates the use of telecommunications resources in each of the phases of disaster management for the local telecom/ICT services sector. </w:t>
      </w:r>
    </w:p>
    <w:p w14:paraId="64CCDCDF" w14:textId="77777777" w:rsidR="0024365B" w:rsidRPr="0024365B" w:rsidRDefault="0024365B" w:rsidP="0024365B">
      <w:pPr>
        <w:pBdr>
          <w:top w:val="nil"/>
          <w:left w:val="nil"/>
          <w:bottom w:val="nil"/>
          <w:right w:val="nil"/>
          <w:between w:val="nil"/>
        </w:pBdr>
        <w:spacing w:line="240" w:lineRule="auto"/>
        <w:rPr>
          <w:b/>
          <w:bCs/>
          <w:i/>
          <w:iCs/>
        </w:rPr>
      </w:pPr>
      <w:r w:rsidRPr="0024365B">
        <w:rPr>
          <w:b/>
          <w:bCs/>
          <w:i/>
          <w:iCs/>
        </w:rPr>
        <w:t xml:space="preserve">PURA should undertake a review of specific regulations that have a DRM aspect and consider updating these regulations to reflect best practice and explicit application to DRM. Areas that could be addressed include (but are not limited to) those presented in the following sections. </w:t>
      </w:r>
    </w:p>
    <w:p w14:paraId="224233B3" w14:textId="77777777" w:rsidR="0024365B" w:rsidRPr="0024365B" w:rsidRDefault="0024365B" w:rsidP="0024365B">
      <w:pPr>
        <w:numPr>
          <w:ilvl w:val="0"/>
          <w:numId w:val="3"/>
        </w:numPr>
        <w:pBdr>
          <w:top w:val="nil"/>
          <w:left w:val="nil"/>
          <w:bottom w:val="nil"/>
          <w:right w:val="nil"/>
          <w:between w:val="nil"/>
        </w:pBdr>
        <w:spacing w:line="240" w:lineRule="auto"/>
        <w:rPr>
          <w:b/>
          <w:bCs/>
          <w:i/>
          <w:iCs/>
        </w:rPr>
      </w:pPr>
      <w:r w:rsidRPr="0024365B">
        <w:rPr>
          <w:b/>
          <w:bCs/>
          <w:i/>
          <w:iCs/>
        </w:rPr>
        <w:t>Mitigation and Preparedness Phases</w:t>
      </w:r>
    </w:p>
    <w:p w14:paraId="60C627F3" w14:textId="77777777" w:rsidR="0024365B" w:rsidRPr="0024365B" w:rsidRDefault="0024365B" w:rsidP="0024365B">
      <w:pPr>
        <w:numPr>
          <w:ilvl w:val="0"/>
          <w:numId w:val="70"/>
        </w:numPr>
        <w:pBdr>
          <w:top w:val="nil"/>
          <w:left w:val="nil"/>
          <w:bottom w:val="nil"/>
          <w:right w:val="nil"/>
          <w:between w:val="nil"/>
        </w:pBdr>
        <w:spacing w:line="240" w:lineRule="auto"/>
        <w:rPr>
          <w:b/>
          <w:bCs/>
          <w:i/>
          <w:iCs/>
        </w:rPr>
      </w:pPr>
      <w:r w:rsidRPr="0024365B">
        <w:rPr>
          <w:b/>
          <w:bCs/>
          <w:i/>
          <w:iCs/>
        </w:rPr>
        <w:t>Oblige telecommunications service providers to carry out vulnerability analyses of their networks according to risk maps of different geographical areas and to establish corresponding contingency plans that guarantee, to the extent possible, vital communications for emergency management and disaster risk reduction, as well as the timely restoration of user communications. These plans should be submitted to and approved by PURA.</w:t>
      </w:r>
    </w:p>
    <w:p w14:paraId="30A46790" w14:textId="77777777" w:rsidR="0024365B" w:rsidRPr="0024365B" w:rsidRDefault="0024365B" w:rsidP="0024365B">
      <w:pPr>
        <w:numPr>
          <w:ilvl w:val="0"/>
          <w:numId w:val="70"/>
        </w:numPr>
        <w:pBdr>
          <w:top w:val="nil"/>
          <w:left w:val="nil"/>
          <w:bottom w:val="nil"/>
          <w:right w:val="nil"/>
          <w:between w:val="nil"/>
        </w:pBdr>
        <w:spacing w:line="240" w:lineRule="auto"/>
        <w:rPr>
          <w:b/>
          <w:bCs/>
          <w:i/>
          <w:iCs/>
        </w:rPr>
      </w:pPr>
      <w:r w:rsidRPr="0024365B">
        <w:rPr>
          <w:b/>
          <w:bCs/>
          <w:i/>
          <w:iCs/>
        </w:rPr>
        <w:t>Ensuring that the associated legal instruments have explicit wording to ensure that temporary arrangements for spectrum licenses, operational licenses, type approvals or other such matters can be expedited in a disaster situation without Ministerial consent.</w:t>
      </w:r>
    </w:p>
    <w:p w14:paraId="7DDD3544" w14:textId="77777777" w:rsidR="0024365B" w:rsidRPr="0024365B" w:rsidRDefault="0024365B" w:rsidP="0024365B">
      <w:pPr>
        <w:numPr>
          <w:ilvl w:val="0"/>
          <w:numId w:val="70"/>
        </w:numPr>
        <w:pBdr>
          <w:top w:val="nil"/>
          <w:left w:val="nil"/>
          <w:bottom w:val="nil"/>
          <w:right w:val="nil"/>
          <w:between w:val="nil"/>
        </w:pBdr>
        <w:spacing w:line="240" w:lineRule="auto"/>
        <w:rPr>
          <w:b/>
          <w:bCs/>
          <w:i/>
          <w:iCs/>
        </w:rPr>
      </w:pPr>
      <w:r w:rsidRPr="0024365B">
        <w:rPr>
          <w:b/>
          <w:bCs/>
          <w:i/>
          <w:iCs/>
        </w:rPr>
        <w:t>Require that radio and commercial broadcasting operators, public and private television broadcasting operators, as well as civil society entities with assigned radio frequencies, transmit information campaigns for the mitigation of disasters and emergencies. These campaigns should be developed in coordination with NDMA and the PURA and should have a regulated duration and broadcasting timeline.</w:t>
      </w:r>
    </w:p>
    <w:p w14:paraId="11C52072" w14:textId="77777777" w:rsidR="0024365B" w:rsidRDefault="0024365B" w:rsidP="0024365B">
      <w:pPr>
        <w:numPr>
          <w:ilvl w:val="0"/>
          <w:numId w:val="70"/>
        </w:numPr>
        <w:pBdr>
          <w:top w:val="nil"/>
          <w:left w:val="nil"/>
          <w:bottom w:val="nil"/>
          <w:right w:val="nil"/>
          <w:between w:val="nil"/>
        </w:pBdr>
        <w:spacing w:line="240" w:lineRule="auto"/>
        <w:rPr>
          <w:b/>
          <w:bCs/>
          <w:i/>
          <w:iCs/>
        </w:rPr>
      </w:pPr>
      <w:r w:rsidRPr="0024365B">
        <w:rPr>
          <w:b/>
          <w:bCs/>
          <w:i/>
          <w:iCs/>
        </w:rPr>
        <w:t xml:space="preserve">Require that radio and commercial broadcasting operators, public and private television broadcasting operators, as well as mobile providers, disseminate CAP alerts to inform the population of a hazard accurately and in a timely manner. </w:t>
      </w:r>
    </w:p>
    <w:p w14:paraId="1DB1B69B" w14:textId="1E260346" w:rsidR="0024365B" w:rsidRDefault="0024365B" w:rsidP="0024365B">
      <w:pPr>
        <w:numPr>
          <w:ilvl w:val="0"/>
          <w:numId w:val="71"/>
        </w:numPr>
        <w:pBdr>
          <w:top w:val="nil"/>
          <w:left w:val="nil"/>
          <w:bottom w:val="nil"/>
          <w:right w:val="nil"/>
          <w:between w:val="nil"/>
        </w:pBdr>
        <w:spacing w:line="240" w:lineRule="auto"/>
        <w:rPr>
          <w:b/>
          <w:bCs/>
          <w:i/>
          <w:iCs/>
        </w:rPr>
      </w:pPr>
      <w:r>
        <w:rPr>
          <w:b/>
          <w:bCs/>
          <w:i/>
          <w:iCs/>
        </w:rPr>
        <w:t>Response Phase</w:t>
      </w:r>
    </w:p>
    <w:p w14:paraId="6A83C8AF" w14:textId="367E1328" w:rsidR="0024365B" w:rsidRPr="0024365B" w:rsidRDefault="0024365B" w:rsidP="0024365B">
      <w:pPr>
        <w:numPr>
          <w:ilvl w:val="0"/>
          <w:numId w:val="73"/>
        </w:numPr>
        <w:pBdr>
          <w:top w:val="nil"/>
          <w:left w:val="nil"/>
          <w:bottom w:val="nil"/>
          <w:right w:val="nil"/>
          <w:between w:val="nil"/>
        </w:pBdr>
        <w:spacing w:line="240" w:lineRule="auto"/>
        <w:rPr>
          <w:b/>
          <w:bCs/>
          <w:i/>
          <w:iCs/>
        </w:rPr>
      </w:pPr>
      <w:r w:rsidRPr="0024365B">
        <w:rPr>
          <w:b/>
          <w:bCs/>
          <w:i/>
          <w:iCs/>
        </w:rPr>
        <w:t>Ensure that providers of commercial fixed and mobile telecommunications services take the necessary measures to make available their networks and sufficient capacity for communications to the authorities and affected population, free of charge and in a timely manner, as soon as a disaster situation or emergency is declared.</w:t>
      </w:r>
    </w:p>
    <w:p w14:paraId="6DE0EDE5" w14:textId="77777777" w:rsidR="0024365B" w:rsidRPr="0024365B" w:rsidRDefault="0024365B" w:rsidP="0024365B">
      <w:pPr>
        <w:numPr>
          <w:ilvl w:val="0"/>
          <w:numId w:val="73"/>
        </w:numPr>
        <w:pBdr>
          <w:top w:val="nil"/>
          <w:left w:val="nil"/>
          <w:bottom w:val="nil"/>
          <w:right w:val="nil"/>
          <w:between w:val="nil"/>
        </w:pBdr>
        <w:spacing w:line="240" w:lineRule="auto"/>
        <w:rPr>
          <w:b/>
          <w:bCs/>
          <w:i/>
          <w:iCs/>
        </w:rPr>
      </w:pPr>
      <w:r w:rsidRPr="0024365B">
        <w:rPr>
          <w:b/>
          <w:bCs/>
          <w:i/>
          <w:iCs/>
        </w:rPr>
        <w:t xml:space="preserve">Require providers of commercial mobile service to encourage their customers to send SMS messages instead of other means of communication such as voice or data services, to avoid network congestion. Also, require that commercial telecommunications, fixed and mobile service providers, to limit the duration of calls to, for example, a maximum of 2 minutes in the geographic area of the disaster for a period of 12 hours following the event that generates the emergency. These norms would not apply to calls made from or to the numbers of the authorities involved in the emergency response. </w:t>
      </w:r>
    </w:p>
    <w:p w14:paraId="2758C849" w14:textId="77777777" w:rsidR="0024365B" w:rsidRPr="0024365B" w:rsidRDefault="0024365B" w:rsidP="0024365B">
      <w:pPr>
        <w:numPr>
          <w:ilvl w:val="0"/>
          <w:numId w:val="73"/>
        </w:numPr>
        <w:pBdr>
          <w:top w:val="nil"/>
          <w:left w:val="nil"/>
          <w:bottom w:val="nil"/>
          <w:right w:val="nil"/>
          <w:between w:val="nil"/>
        </w:pBdr>
        <w:spacing w:line="240" w:lineRule="auto"/>
        <w:rPr>
          <w:b/>
          <w:bCs/>
          <w:i/>
          <w:iCs/>
        </w:rPr>
      </w:pPr>
      <w:r w:rsidRPr="0024365B">
        <w:rPr>
          <w:b/>
          <w:bCs/>
          <w:i/>
          <w:iCs/>
        </w:rPr>
        <w:t>Ensure that providers of commercial fixed and mobile telecommunications services give priority in communications to calls made by the authorities for a period of 24 hours after the emergency is declared, extendable as decided by the responsible authority (e.g. DMD).</w:t>
      </w:r>
    </w:p>
    <w:p w14:paraId="230F657C" w14:textId="77777777" w:rsidR="0024365B" w:rsidRPr="0024365B" w:rsidRDefault="0024365B" w:rsidP="0024365B">
      <w:pPr>
        <w:numPr>
          <w:ilvl w:val="0"/>
          <w:numId w:val="73"/>
        </w:numPr>
        <w:pBdr>
          <w:top w:val="nil"/>
          <w:left w:val="nil"/>
          <w:bottom w:val="nil"/>
          <w:right w:val="nil"/>
          <w:between w:val="nil"/>
        </w:pBdr>
        <w:spacing w:line="240" w:lineRule="auto"/>
        <w:rPr>
          <w:b/>
          <w:bCs/>
          <w:i/>
          <w:iCs/>
        </w:rPr>
      </w:pPr>
      <w:r w:rsidRPr="0024365B">
        <w:rPr>
          <w:b/>
          <w:bCs/>
          <w:i/>
          <w:iCs/>
        </w:rPr>
        <w:t>Oblige radio broadcasting, commercial and community operators, as well as public and private television broadcasting operators, to transmit messages from DMD to inform and update the public about the disaster. These messages could include helpful content regarding health services, shelter, food, and family reunification, among others.</w:t>
      </w:r>
    </w:p>
    <w:p w14:paraId="5B9E66CA" w14:textId="77777777" w:rsidR="0024365B" w:rsidRPr="0024365B" w:rsidRDefault="0024365B" w:rsidP="0024365B">
      <w:pPr>
        <w:numPr>
          <w:ilvl w:val="0"/>
          <w:numId w:val="73"/>
        </w:numPr>
        <w:pBdr>
          <w:top w:val="nil"/>
          <w:left w:val="nil"/>
          <w:bottom w:val="nil"/>
          <w:right w:val="nil"/>
          <w:between w:val="nil"/>
        </w:pBdr>
        <w:spacing w:line="240" w:lineRule="auto"/>
        <w:rPr>
          <w:b/>
          <w:bCs/>
          <w:i/>
          <w:iCs/>
        </w:rPr>
      </w:pPr>
      <w:r w:rsidRPr="0024365B">
        <w:rPr>
          <w:b/>
          <w:bCs/>
          <w:i/>
          <w:iCs/>
        </w:rPr>
        <w:t>Oblige telecommunications service providers to immediately assess the damage to their networks and implement the previously prepared contingency plans, to re-establish communications as soon as possible. The different government entities, through the PURA, should support and facilitate the implementation of those contingency plans.</w:t>
      </w:r>
    </w:p>
    <w:p w14:paraId="5A7E9B75" w14:textId="77777777" w:rsidR="0024365B" w:rsidRPr="0024365B" w:rsidRDefault="0024365B" w:rsidP="0024365B">
      <w:pPr>
        <w:numPr>
          <w:ilvl w:val="0"/>
          <w:numId w:val="71"/>
        </w:numPr>
        <w:pBdr>
          <w:top w:val="nil"/>
          <w:left w:val="nil"/>
          <w:bottom w:val="nil"/>
          <w:right w:val="nil"/>
          <w:between w:val="nil"/>
        </w:pBdr>
        <w:spacing w:line="240" w:lineRule="auto"/>
        <w:rPr>
          <w:b/>
          <w:bCs/>
          <w:i/>
          <w:iCs/>
        </w:rPr>
      </w:pPr>
      <w:r w:rsidRPr="0024365B">
        <w:rPr>
          <w:b/>
          <w:bCs/>
          <w:i/>
          <w:iCs/>
        </w:rPr>
        <w:t>Recovery Phase</w:t>
      </w:r>
    </w:p>
    <w:p w14:paraId="02013F73" w14:textId="694E6D07" w:rsidR="00B91DAF" w:rsidRPr="0024365B" w:rsidRDefault="0024365B" w:rsidP="0024365B">
      <w:pPr>
        <w:numPr>
          <w:ilvl w:val="0"/>
          <w:numId w:val="74"/>
        </w:numPr>
        <w:pBdr>
          <w:top w:val="nil"/>
          <w:left w:val="nil"/>
          <w:bottom w:val="nil"/>
          <w:right w:val="nil"/>
          <w:between w:val="nil"/>
        </w:pBdr>
        <w:spacing w:line="240" w:lineRule="auto"/>
        <w:rPr>
          <w:b/>
          <w:bCs/>
          <w:i/>
          <w:iCs/>
        </w:rPr>
      </w:pPr>
      <w:r w:rsidRPr="0024365B">
        <w:rPr>
          <w:b/>
          <w:bCs/>
          <w:i/>
          <w:iCs/>
        </w:rPr>
        <w:t>Require commercial and telecommunications service providers to re-establish permanent solutions to restore and improve communications to end users, with the aim of building back better, in alignment with the Sendai Framework.</w:t>
      </w:r>
    </w:p>
    <w:p w14:paraId="1545CADC" w14:textId="559B243F" w:rsidR="009A6C50" w:rsidRPr="00DE1BD4" w:rsidRDefault="009A6C50" w:rsidP="009A6C50">
      <w:pPr>
        <w:rPr>
          <w:b/>
          <w:i/>
          <w:iCs/>
          <w:color w:val="4472C4" w:themeColor="accent1"/>
        </w:rPr>
      </w:pPr>
      <w:r w:rsidRPr="00DE1BD4">
        <w:rPr>
          <w:b/>
          <w:i/>
          <w:iCs/>
          <w:color w:val="4472C4" w:themeColor="accent1"/>
        </w:rPr>
        <w:t>Item 5: Updated Vulnerability Maps</w:t>
      </w:r>
    </w:p>
    <w:p w14:paraId="318415CA" w14:textId="08210A2F" w:rsidR="009A6C50" w:rsidRPr="00DE1BD4" w:rsidRDefault="009A6C50" w:rsidP="009A6C50">
      <w:pPr>
        <w:rPr>
          <w:i/>
          <w:iCs/>
        </w:rPr>
      </w:pPr>
      <w:r w:rsidRPr="00DE1BD4">
        <w:rPr>
          <w:i/>
          <w:iCs/>
        </w:rPr>
        <w:t>Each Member State should maintain updated vulnerability maps for the different types of hazards in the NETP and especially those related to droughts, floods, and epidemics.</w:t>
      </w:r>
    </w:p>
    <w:p w14:paraId="215B9861" w14:textId="77777777" w:rsidR="00965886" w:rsidRPr="00DE1BD4" w:rsidRDefault="00965886" w:rsidP="00965886">
      <w:pPr>
        <w:rPr>
          <w:b/>
          <w:bCs/>
          <w:i/>
          <w:iCs/>
          <w:color w:val="4472C4" w:themeColor="accent1"/>
        </w:rPr>
      </w:pPr>
      <w:bookmarkStart w:id="23" w:name="_Hlk168584788"/>
      <w:r w:rsidRPr="00DE1BD4">
        <w:rPr>
          <w:b/>
          <w:bCs/>
          <w:i/>
          <w:iCs/>
          <w:color w:val="4472C4" w:themeColor="accent1"/>
        </w:rPr>
        <w:t>Implementation</w:t>
      </w:r>
    </w:p>
    <w:bookmarkEnd w:id="23"/>
    <w:p w14:paraId="113A30EE" w14:textId="77777777" w:rsidR="00CB5F9E" w:rsidRPr="00CB5F9E" w:rsidRDefault="00CB5F9E" w:rsidP="00CB5F9E">
      <w:pPr>
        <w:rPr>
          <w:b/>
          <w:bCs/>
        </w:rPr>
      </w:pPr>
      <w:r w:rsidRPr="00CB5F9E">
        <w:rPr>
          <w:b/>
          <w:bCs/>
          <w:i/>
          <w:iCs/>
        </w:rPr>
        <w:t xml:space="preserve">Maintaining and ensuring hazard maps for the different types of hazards that exist is an essential contributor to disaster planning and the development of mitigation strategies. </w:t>
      </w:r>
    </w:p>
    <w:p w14:paraId="0073D74F" w14:textId="1DD4A47A" w:rsidR="00CB5F9E" w:rsidRPr="00CB5F9E" w:rsidRDefault="00CB5F9E" w:rsidP="00963CF3">
      <w:pPr>
        <w:pStyle w:val="ListParagraph"/>
        <w:numPr>
          <w:ilvl w:val="0"/>
          <w:numId w:val="34"/>
        </w:numPr>
        <w:rPr>
          <w:b/>
          <w:bCs/>
          <w:i/>
          <w:iCs/>
        </w:rPr>
      </w:pPr>
      <w:r w:rsidRPr="00CB5F9E">
        <w:rPr>
          <w:b/>
          <w:bCs/>
          <w:i/>
          <w:iCs/>
        </w:rPr>
        <w:t xml:space="preserve">The </w:t>
      </w:r>
      <w:r w:rsidR="001E0A98">
        <w:rPr>
          <w:b/>
          <w:bCs/>
          <w:i/>
          <w:iCs/>
        </w:rPr>
        <w:t>NDMA</w:t>
      </w:r>
      <w:r w:rsidRPr="00CB5F9E">
        <w:rPr>
          <w:b/>
          <w:bCs/>
          <w:i/>
          <w:iCs/>
        </w:rPr>
        <w:t xml:space="preserve"> should lead, develop and approve updated vulnerability maps for the different types of hazards, and especially those related to droughts, floods, and epidemics developed and maintained by the relevant agencies involved in assessing and monitoring natural hazards in T</w:t>
      </w:r>
      <w:r w:rsidR="001E0A98">
        <w:rPr>
          <w:b/>
          <w:bCs/>
          <w:i/>
          <w:iCs/>
        </w:rPr>
        <w:t>he Gambia</w:t>
      </w:r>
      <w:r w:rsidRPr="00CB5F9E">
        <w:rPr>
          <w:b/>
          <w:bCs/>
          <w:i/>
          <w:iCs/>
        </w:rPr>
        <w:t>.</w:t>
      </w:r>
    </w:p>
    <w:p w14:paraId="771791B1" w14:textId="77777777" w:rsidR="00CB5F9E" w:rsidRPr="00CB5F9E" w:rsidRDefault="00CB5F9E" w:rsidP="00963CF3">
      <w:pPr>
        <w:pStyle w:val="ListParagraph"/>
        <w:numPr>
          <w:ilvl w:val="0"/>
          <w:numId w:val="34"/>
        </w:numPr>
        <w:rPr>
          <w:b/>
          <w:bCs/>
          <w:i/>
          <w:iCs/>
        </w:rPr>
      </w:pPr>
      <w:r w:rsidRPr="00CB5F9E">
        <w:rPr>
          <w:b/>
          <w:bCs/>
          <w:i/>
          <w:iCs/>
        </w:rPr>
        <w:t>This information must be described at the municipal level and be available to telecom/ICT operators. It should also include information on the most vulnerable communities, specifying the type of hazards they are prone to, as well as the telecom/ICT resources available for each of them.</w:t>
      </w:r>
    </w:p>
    <w:p w14:paraId="5E3D22A5" w14:textId="24A8A690" w:rsidR="00CB5F9E" w:rsidRPr="00CB5F9E" w:rsidRDefault="001E0A98" w:rsidP="00963CF3">
      <w:pPr>
        <w:pStyle w:val="ListParagraph"/>
        <w:numPr>
          <w:ilvl w:val="0"/>
          <w:numId w:val="34"/>
        </w:numPr>
        <w:rPr>
          <w:b/>
          <w:bCs/>
          <w:i/>
          <w:iCs/>
        </w:rPr>
      </w:pPr>
      <w:r>
        <w:rPr>
          <w:b/>
          <w:bCs/>
          <w:i/>
          <w:iCs/>
        </w:rPr>
        <w:t>PURA</w:t>
      </w:r>
      <w:r w:rsidR="00CB5F9E" w:rsidRPr="00CB5F9E">
        <w:rPr>
          <w:b/>
          <w:bCs/>
          <w:i/>
          <w:iCs/>
        </w:rPr>
        <w:t xml:space="preserve"> should ensure that all telecom/ICT service operators, mobile, fixed, and radio and television broadcasting operators, as well as government networks, in conjunction with </w:t>
      </w:r>
      <w:r>
        <w:rPr>
          <w:b/>
          <w:bCs/>
          <w:i/>
          <w:iCs/>
        </w:rPr>
        <w:t>PURA</w:t>
      </w:r>
      <w:r w:rsidR="00CB5F9E" w:rsidRPr="00CB5F9E">
        <w:rPr>
          <w:b/>
          <w:bCs/>
          <w:i/>
          <w:iCs/>
        </w:rPr>
        <w:t>, should develop (or update) and present for approval a vulnerability analysis of the critical infrastructure of their networks, including an inventory of the infrastructure, and power, maintenance and connectivity evaluations along with consideration of the risks associated with cybersecurity (to obtain the cooperation of private, commercial entities, (it may be necessary to put in place confidentiality or non-disclosure agreements).</w:t>
      </w:r>
    </w:p>
    <w:p w14:paraId="6A66F62C" w14:textId="77777777" w:rsidR="00CB5F9E" w:rsidRPr="00CB5F9E" w:rsidRDefault="00CB5F9E" w:rsidP="00963CF3">
      <w:pPr>
        <w:pStyle w:val="ListParagraph"/>
        <w:numPr>
          <w:ilvl w:val="0"/>
          <w:numId w:val="34"/>
        </w:numPr>
        <w:rPr>
          <w:b/>
          <w:bCs/>
        </w:rPr>
      </w:pPr>
      <w:r w:rsidRPr="00CB5F9E">
        <w:rPr>
          <w:b/>
          <w:bCs/>
          <w:i/>
          <w:iCs/>
        </w:rPr>
        <w:t>This activity could be carried out with the support of the academic institutions and relevant planning departments and go beyond any current practise of collating information to become more proactive curation of data, identifying gaps and driving project requirements to expand and maintain GIS/Hazard Map information</w:t>
      </w:r>
      <w:r w:rsidRPr="00CB5F9E">
        <w:rPr>
          <w:b/>
          <w:bCs/>
        </w:rPr>
        <w:t>.</w:t>
      </w:r>
    </w:p>
    <w:p w14:paraId="704FB3B6" w14:textId="0D6B7B0D" w:rsidR="009A6C50" w:rsidRPr="00DE1BD4" w:rsidRDefault="009A6C50" w:rsidP="009A6C50">
      <w:pPr>
        <w:rPr>
          <w:b/>
          <w:i/>
          <w:iCs/>
          <w:color w:val="4472C4" w:themeColor="accent1"/>
        </w:rPr>
      </w:pPr>
      <w:r w:rsidRPr="00DE1BD4">
        <w:rPr>
          <w:b/>
          <w:i/>
          <w:iCs/>
          <w:color w:val="4472C4" w:themeColor="accent1"/>
        </w:rPr>
        <w:t>Item 6: Critical Infrastructure and Network Inventory</w:t>
      </w:r>
    </w:p>
    <w:p w14:paraId="09C3682A" w14:textId="6D1AD7BD" w:rsidR="009A6C50" w:rsidRPr="00DE1BD4" w:rsidRDefault="009A6C50" w:rsidP="001E20D2">
      <w:pPr>
        <w:rPr>
          <w:i/>
          <w:iCs/>
        </w:rPr>
      </w:pPr>
      <w:r w:rsidRPr="00DE1BD4">
        <w:rPr>
          <w:i/>
          <w:iCs/>
        </w:rPr>
        <w:t>All telecom/ICT service operators, mobile, fixed, and radio and television broadcasting operators, as well as Government networks, in conjunction with the NRA should develop (or update) and present for approval to the DRM Authority a vulnerability analysis of the critical infrastructure of their networks</w:t>
      </w:r>
      <w:r w:rsidRPr="00DE1BD4">
        <w:t xml:space="preserve"> </w:t>
      </w:r>
      <w:r w:rsidRPr="00DE1BD4">
        <w:rPr>
          <w:i/>
          <w:iCs/>
        </w:rPr>
        <w:t xml:space="preserve">according to the different types of hazards to which the country is prone to. </w:t>
      </w:r>
    </w:p>
    <w:p w14:paraId="491F51E3" w14:textId="77777777" w:rsidR="006228BE" w:rsidRPr="00DE1BD4" w:rsidRDefault="006228BE" w:rsidP="006228BE">
      <w:pPr>
        <w:rPr>
          <w:b/>
          <w:bCs/>
          <w:i/>
          <w:iCs/>
          <w:color w:val="4472C4" w:themeColor="accent1"/>
        </w:rPr>
      </w:pPr>
      <w:bookmarkStart w:id="24" w:name="_Hlk168584887"/>
      <w:r w:rsidRPr="00DE1BD4">
        <w:rPr>
          <w:b/>
          <w:bCs/>
          <w:i/>
          <w:iCs/>
          <w:color w:val="4472C4" w:themeColor="accent1"/>
        </w:rPr>
        <w:t>Implementation</w:t>
      </w:r>
    </w:p>
    <w:bookmarkEnd w:id="24"/>
    <w:p w14:paraId="1FF52D62" w14:textId="21390697" w:rsidR="00EC7237" w:rsidRPr="00EC7237" w:rsidRDefault="00EC7237" w:rsidP="00EC7237">
      <w:pPr>
        <w:rPr>
          <w:b/>
          <w:bCs/>
          <w:i/>
          <w:iCs/>
        </w:rPr>
      </w:pPr>
      <w:r w:rsidRPr="00EC7237">
        <w:rPr>
          <w:b/>
          <w:bCs/>
          <w:i/>
          <w:iCs/>
        </w:rPr>
        <w:t xml:space="preserve">An up-to-date repository of critical infrastructure is important in a disaster situation. Whilst this information does not have to be held by </w:t>
      </w:r>
      <w:r w:rsidR="001E20D2">
        <w:rPr>
          <w:b/>
          <w:bCs/>
          <w:i/>
          <w:iCs/>
        </w:rPr>
        <w:t>PURA</w:t>
      </w:r>
      <w:r w:rsidRPr="00EC7237">
        <w:rPr>
          <w:b/>
          <w:bCs/>
          <w:i/>
          <w:iCs/>
        </w:rPr>
        <w:t xml:space="preserve">, there must be confirmation that the information is available, regularly updated and can be accessed when required. Therefore, </w:t>
      </w:r>
      <w:r w:rsidR="001E20D2">
        <w:rPr>
          <w:b/>
          <w:bCs/>
          <w:i/>
          <w:iCs/>
        </w:rPr>
        <w:t>PURA</w:t>
      </w:r>
      <w:r w:rsidRPr="00EC7237">
        <w:rPr>
          <w:b/>
          <w:bCs/>
          <w:i/>
          <w:iCs/>
        </w:rPr>
        <w:t xml:space="preserve"> should put in place a methodology to regularly review the network inventory and coverage of mobile and fixed telecom/ICT operators, and radio and television broadcasting. </w:t>
      </w:r>
    </w:p>
    <w:p w14:paraId="1BDAC0CD" w14:textId="26F36FE3" w:rsidR="00EC7237" w:rsidRPr="00EC7237" w:rsidRDefault="00EC7237" w:rsidP="00EC7237">
      <w:pPr>
        <w:rPr>
          <w:rFonts w:asciiTheme="minorHAnsi" w:eastAsiaTheme="minorHAnsi" w:hAnsiTheme="minorHAnsi" w:cstheme="minorBidi"/>
          <w:b/>
          <w:bCs/>
          <w:i/>
          <w:iCs/>
          <w:lang w:eastAsia="en-US"/>
        </w:rPr>
      </w:pPr>
      <w:r w:rsidRPr="00EC7237">
        <w:rPr>
          <w:b/>
          <w:bCs/>
          <w:i/>
          <w:iCs/>
        </w:rPr>
        <w:t xml:space="preserve">All telecom/ICT service operators, mobile, fixed, and radio and television broadcasting operators, as well as government networks, in conjunction with the </w:t>
      </w:r>
      <w:r w:rsidR="001E20D2">
        <w:rPr>
          <w:b/>
          <w:bCs/>
          <w:i/>
          <w:iCs/>
        </w:rPr>
        <w:t>PURA</w:t>
      </w:r>
      <w:r w:rsidRPr="00EC7237">
        <w:rPr>
          <w:b/>
          <w:bCs/>
          <w:i/>
          <w:iCs/>
        </w:rPr>
        <w:t xml:space="preserve">, should develop (or update) and present for approval to the </w:t>
      </w:r>
      <w:r w:rsidR="001E20D2">
        <w:rPr>
          <w:b/>
          <w:bCs/>
          <w:i/>
          <w:iCs/>
        </w:rPr>
        <w:t>NDMA</w:t>
      </w:r>
      <w:r w:rsidRPr="00EC7237">
        <w:rPr>
          <w:b/>
          <w:bCs/>
          <w:i/>
          <w:iCs/>
        </w:rPr>
        <w:t xml:space="preserve"> a vulnerability analysis of the critical infrastructure of their networks, including an inventory of the infrastructure, and power, maintenance and connectivity evaluations along with consideration of the risks associated with cyber security.</w:t>
      </w:r>
    </w:p>
    <w:p w14:paraId="322334CB" w14:textId="25B6DE3E" w:rsidR="00EC7237" w:rsidRPr="00EC7237" w:rsidRDefault="00416136" w:rsidP="00EC7237">
      <w:pPr>
        <w:rPr>
          <w:b/>
          <w:bCs/>
          <w:i/>
          <w:iCs/>
        </w:rPr>
      </w:pPr>
      <w:r>
        <w:rPr>
          <w:b/>
          <w:bCs/>
          <w:i/>
          <w:iCs/>
        </w:rPr>
        <w:t>PURA</w:t>
      </w:r>
      <w:r w:rsidR="00EC7237" w:rsidRPr="00EC7237">
        <w:rPr>
          <w:b/>
          <w:bCs/>
          <w:i/>
          <w:iCs/>
        </w:rPr>
        <w:t xml:space="preserve"> should also, maintain an updated database with the focal points in charge of technical aspects as well as with those in charge of communication of alerts and relevant information regarding disasters. Include network information and coverage of radio amateurs and first responders (police, firefighters, etc.) and identify any gaps. </w:t>
      </w:r>
    </w:p>
    <w:p w14:paraId="0BAD0BB1" w14:textId="2A08ADB5" w:rsidR="00EC7237" w:rsidRPr="00EC7237" w:rsidRDefault="00416136" w:rsidP="00EC7237">
      <w:pPr>
        <w:rPr>
          <w:b/>
          <w:bCs/>
        </w:rPr>
      </w:pPr>
      <w:r>
        <w:rPr>
          <w:b/>
          <w:bCs/>
          <w:i/>
          <w:iCs/>
        </w:rPr>
        <w:t>PURA</w:t>
      </w:r>
      <w:r w:rsidR="00EC7237" w:rsidRPr="00EC7237">
        <w:rPr>
          <w:b/>
          <w:bCs/>
          <w:i/>
          <w:iCs/>
        </w:rPr>
        <w:t xml:space="preserve"> should also consider the assessment of the implementation of other options on telecom/ICT infrastructure, such as including satellite devices for voice/broadband communications, academic networks and community </w:t>
      </w:r>
      <w:proofErr w:type="spellStart"/>
      <w:r w:rsidR="00EC7237" w:rsidRPr="00EC7237">
        <w:rPr>
          <w:b/>
          <w:bCs/>
          <w:i/>
          <w:iCs/>
        </w:rPr>
        <w:t>WiFi</w:t>
      </w:r>
      <w:proofErr w:type="spellEnd"/>
      <w:r w:rsidR="00EC7237" w:rsidRPr="00EC7237">
        <w:rPr>
          <w:b/>
          <w:bCs/>
          <w:i/>
          <w:iCs/>
        </w:rPr>
        <w:t xml:space="preserve"> to strengthen emergency response and recovery activities</w:t>
      </w:r>
    </w:p>
    <w:p w14:paraId="08A644C5" w14:textId="77777777" w:rsidR="00EC7237" w:rsidRPr="00EC7237" w:rsidRDefault="00EC7237" w:rsidP="00EC7237">
      <w:pPr>
        <w:rPr>
          <w:b/>
          <w:bCs/>
          <w:i/>
          <w:iCs/>
        </w:rPr>
      </w:pPr>
      <w:r w:rsidRPr="00EC7237">
        <w:rPr>
          <w:b/>
          <w:bCs/>
          <w:i/>
          <w:iCs/>
        </w:rPr>
        <w:t>Information should be confirmed on VSAT capability in the country, including those systems already in situ and systems in storage for use as required.</w:t>
      </w:r>
    </w:p>
    <w:p w14:paraId="0E873E22" w14:textId="6DA8E745" w:rsidR="006228BE" w:rsidRPr="00EC7237" w:rsidRDefault="00EC7237" w:rsidP="00EC7237">
      <w:pPr>
        <w:rPr>
          <w:rStyle w:val="normaltextrun"/>
          <w:rFonts w:cstheme="minorHAnsi"/>
          <w:b/>
          <w:bCs/>
          <w:i/>
          <w:iCs/>
        </w:rPr>
      </w:pPr>
      <w:r w:rsidRPr="00EC7237">
        <w:rPr>
          <w:b/>
          <w:bCs/>
          <w:i/>
          <w:iCs/>
        </w:rPr>
        <w:t>Coverage maps of all mobile network operators should be reviewed and updated accordingly. Coverage maps should be easily available to the public for information purposes and should be available at a detailed level on an as-required basis</w:t>
      </w:r>
      <w:r w:rsidR="006228BE" w:rsidRPr="00EC7237">
        <w:rPr>
          <w:rStyle w:val="normaltextrun"/>
          <w:rFonts w:cstheme="minorHAnsi"/>
          <w:b/>
          <w:bCs/>
          <w:i/>
          <w:iCs/>
        </w:rPr>
        <w:t xml:space="preserve">. </w:t>
      </w:r>
    </w:p>
    <w:p w14:paraId="4998E4BA" w14:textId="1E416B05" w:rsidR="009A6C50" w:rsidRPr="00DE1BD4" w:rsidRDefault="009A6C50" w:rsidP="009A6C50">
      <w:pPr>
        <w:rPr>
          <w:b/>
          <w:bCs/>
          <w:i/>
          <w:iCs/>
          <w:color w:val="4472C4" w:themeColor="accent1"/>
        </w:rPr>
      </w:pPr>
      <w:r w:rsidRPr="00DE1BD4">
        <w:rPr>
          <w:b/>
          <w:bCs/>
          <w:i/>
          <w:iCs/>
          <w:color w:val="4472C4" w:themeColor="accent1"/>
        </w:rPr>
        <w:t xml:space="preserve">Item 7: The Tampere Convention and Coordination with International Agencies </w:t>
      </w:r>
    </w:p>
    <w:p w14:paraId="624A4ED8" w14:textId="3F9CEF26" w:rsidR="009A6C50" w:rsidRPr="00874904" w:rsidRDefault="00416136" w:rsidP="00874904">
      <w:pPr>
        <w:rPr>
          <w:i/>
          <w:iCs/>
        </w:rPr>
      </w:pPr>
      <w:r>
        <w:rPr>
          <w:i/>
          <w:iCs/>
        </w:rPr>
        <w:t>Countries</w:t>
      </w:r>
      <w:r w:rsidR="009A6C50" w:rsidRPr="00DE1BD4">
        <w:rPr>
          <w:i/>
          <w:iCs/>
        </w:rPr>
        <w:t xml:space="preserve"> that are not signatory to the Tampere Convention should initiate the process to become part of it</w:t>
      </w:r>
      <w:r w:rsidR="009A6C50" w:rsidRPr="00874904">
        <w:rPr>
          <w:i/>
          <w:iCs/>
        </w:rPr>
        <w:t>.</w:t>
      </w:r>
    </w:p>
    <w:p w14:paraId="339CD3AA" w14:textId="77777777" w:rsidR="006228BE" w:rsidRPr="00DE1BD4" w:rsidRDefault="006228BE" w:rsidP="006228BE">
      <w:pPr>
        <w:rPr>
          <w:b/>
          <w:bCs/>
          <w:i/>
          <w:iCs/>
          <w:color w:val="4472C4" w:themeColor="accent1"/>
        </w:rPr>
      </w:pPr>
      <w:r w:rsidRPr="00DE1BD4">
        <w:rPr>
          <w:b/>
          <w:bCs/>
          <w:i/>
          <w:iCs/>
          <w:color w:val="4472C4" w:themeColor="accent1"/>
        </w:rPr>
        <w:t>Implementation</w:t>
      </w:r>
    </w:p>
    <w:p w14:paraId="7DA92417" w14:textId="48DA9D01" w:rsidR="00EC7237" w:rsidRPr="00EC7237" w:rsidRDefault="00EC7237" w:rsidP="00EC7237">
      <w:pPr>
        <w:rPr>
          <w:b/>
          <w:bCs/>
          <w:i/>
          <w:iCs/>
        </w:rPr>
      </w:pPr>
      <w:r w:rsidRPr="00EC7237">
        <w:rPr>
          <w:b/>
          <w:bCs/>
          <w:i/>
          <w:iCs/>
          <w:color w:val="000000"/>
        </w:rPr>
        <w:t>As a non-signatory to the Tampere Convention, the relevant government agencies or entities in T</w:t>
      </w:r>
      <w:r w:rsidR="00874904">
        <w:rPr>
          <w:b/>
          <w:bCs/>
          <w:i/>
          <w:iCs/>
          <w:color w:val="000000"/>
        </w:rPr>
        <w:t>he Gambia</w:t>
      </w:r>
      <w:r w:rsidRPr="00EC7237">
        <w:rPr>
          <w:b/>
          <w:bCs/>
          <w:i/>
          <w:iCs/>
          <w:color w:val="000000"/>
        </w:rPr>
        <w:t>, including the customs authority, should review existing regulations to simplify or create exemptions to any regulation that prevents the use of telecom/ICT resources for international aid to allow for T</w:t>
      </w:r>
      <w:r w:rsidR="000C02B4">
        <w:rPr>
          <w:b/>
          <w:bCs/>
          <w:i/>
          <w:iCs/>
          <w:color w:val="000000"/>
        </w:rPr>
        <w:t>he Gambia</w:t>
      </w:r>
      <w:r w:rsidRPr="00EC7237">
        <w:rPr>
          <w:b/>
          <w:bCs/>
          <w:i/>
          <w:iCs/>
          <w:color w:val="000000"/>
        </w:rPr>
        <w:t xml:space="preserve"> to become a signatory and ensure effective implementation of the Convention</w:t>
      </w:r>
    </w:p>
    <w:p w14:paraId="02D86840" w14:textId="67452E48" w:rsidR="008F6309" w:rsidRPr="00EC7237" w:rsidRDefault="00EC7237" w:rsidP="00EC7237">
      <w:pPr>
        <w:rPr>
          <w:b/>
          <w:bCs/>
          <w:i/>
          <w:iCs/>
        </w:rPr>
      </w:pPr>
      <w:r w:rsidRPr="00EC7237">
        <w:rPr>
          <w:b/>
          <w:bCs/>
          <w:i/>
          <w:iCs/>
        </w:rPr>
        <w:t>Continue to maintain contacts in and work in co-operation with different international agencies, such as the International Telecommunications Union (ITU), the ETC (Emergency Telecommunications Cluster), other international bodies and with regional partners on issues related to preparedness and response to disasters or emergencies</w:t>
      </w:r>
      <w:r w:rsidR="008F6309" w:rsidRPr="00EC7237">
        <w:rPr>
          <w:b/>
          <w:bCs/>
          <w:i/>
          <w:iCs/>
        </w:rPr>
        <w:t>.</w:t>
      </w:r>
    </w:p>
    <w:p w14:paraId="6DFC3941" w14:textId="41430473" w:rsidR="009A6C50" w:rsidRPr="00DE1BD4" w:rsidRDefault="009A6C50" w:rsidP="009A6C50">
      <w:pPr>
        <w:rPr>
          <w:b/>
          <w:i/>
          <w:iCs/>
          <w:color w:val="4472C4" w:themeColor="accent1"/>
        </w:rPr>
      </w:pPr>
      <w:r w:rsidRPr="00DE1BD4">
        <w:rPr>
          <w:b/>
          <w:i/>
          <w:iCs/>
          <w:color w:val="4472C4" w:themeColor="accent1"/>
        </w:rPr>
        <w:t xml:space="preserve">Item 8: </w:t>
      </w:r>
      <w:bookmarkStart w:id="25" w:name="_Hlk142228286"/>
      <w:r w:rsidRPr="00DE1BD4">
        <w:rPr>
          <w:b/>
          <w:i/>
          <w:iCs/>
          <w:color w:val="4472C4" w:themeColor="accent1"/>
        </w:rPr>
        <w:t>Early Warning Systems and Common Alerting Protocol</w:t>
      </w:r>
    </w:p>
    <w:bookmarkEnd w:id="25"/>
    <w:p w14:paraId="002D5287" w14:textId="15B9157A" w:rsidR="009A6C50" w:rsidRPr="000C02B4" w:rsidRDefault="009A6C50" w:rsidP="000C02B4">
      <w:pPr>
        <w:rPr>
          <w:i/>
          <w:iCs/>
        </w:rPr>
      </w:pPr>
      <w:r w:rsidRPr="000C02B4">
        <w:rPr>
          <w:i/>
          <w:iCs/>
        </w:rPr>
        <w:t xml:space="preserve">Each </w:t>
      </w:r>
      <w:r w:rsidR="000C02B4">
        <w:rPr>
          <w:i/>
          <w:iCs/>
        </w:rPr>
        <w:t>Country</w:t>
      </w:r>
      <w:r w:rsidRPr="000C02B4">
        <w:rPr>
          <w:i/>
          <w:iCs/>
        </w:rPr>
        <w:t xml:space="preserve"> should assess, develop and/or enhance existing emergency alert and EWS, including surveillance and monitoring systems for probable threats prior to the occurrence of disasters and/or emergencies and solutions for warning and alerting the public through using different means of </w:t>
      </w:r>
      <w:r w:rsidR="0057547A" w:rsidRPr="000C02B4">
        <w:rPr>
          <w:i/>
          <w:iCs/>
        </w:rPr>
        <w:t>communications.</w:t>
      </w:r>
    </w:p>
    <w:p w14:paraId="09EB058B" w14:textId="77777777" w:rsidR="006228BE" w:rsidRPr="00DE1BD4" w:rsidRDefault="006228BE" w:rsidP="006228BE">
      <w:pPr>
        <w:rPr>
          <w:b/>
          <w:bCs/>
          <w:i/>
          <w:iCs/>
          <w:color w:val="4472C4" w:themeColor="accent1"/>
        </w:rPr>
      </w:pPr>
      <w:r w:rsidRPr="00DE1BD4">
        <w:rPr>
          <w:b/>
          <w:bCs/>
          <w:i/>
          <w:iCs/>
          <w:color w:val="4472C4" w:themeColor="accent1"/>
        </w:rPr>
        <w:t>Implementation</w:t>
      </w:r>
    </w:p>
    <w:p w14:paraId="2C7BA16C" w14:textId="09492252" w:rsidR="00C9276E" w:rsidRPr="00DE1BD4" w:rsidRDefault="00C9276E" w:rsidP="00C9276E">
      <w:pPr>
        <w:rPr>
          <w:b/>
          <w:bCs/>
          <w:i/>
          <w:iCs/>
        </w:rPr>
      </w:pPr>
      <w:r w:rsidRPr="00DE1BD4">
        <w:rPr>
          <w:b/>
          <w:bCs/>
          <w:i/>
          <w:iCs/>
        </w:rPr>
        <w:t>Implementation Task 8:</w:t>
      </w:r>
    </w:p>
    <w:p w14:paraId="56115CD7" w14:textId="6F759A33" w:rsidR="00C561D7" w:rsidRPr="00C561D7" w:rsidRDefault="008858AE" w:rsidP="00C561D7">
      <w:pPr>
        <w:rPr>
          <w:b/>
          <w:bCs/>
          <w:i/>
          <w:iCs/>
        </w:rPr>
      </w:pPr>
      <w:r>
        <w:rPr>
          <w:b/>
          <w:bCs/>
          <w:i/>
          <w:iCs/>
        </w:rPr>
        <w:t>NDMA</w:t>
      </w:r>
      <w:r w:rsidR="00C561D7" w:rsidRPr="00C561D7">
        <w:rPr>
          <w:b/>
          <w:bCs/>
          <w:i/>
          <w:iCs/>
        </w:rPr>
        <w:t>, M</w:t>
      </w:r>
      <w:r w:rsidR="00EF54BA">
        <w:rPr>
          <w:b/>
          <w:bCs/>
          <w:i/>
          <w:iCs/>
        </w:rPr>
        <w:t>oCDE</w:t>
      </w:r>
      <w:r w:rsidR="00C561D7" w:rsidRPr="00C561D7">
        <w:rPr>
          <w:b/>
          <w:bCs/>
          <w:i/>
          <w:iCs/>
        </w:rPr>
        <w:t xml:space="preserve"> and </w:t>
      </w:r>
      <w:r>
        <w:rPr>
          <w:b/>
          <w:bCs/>
          <w:i/>
          <w:iCs/>
        </w:rPr>
        <w:t>PURA</w:t>
      </w:r>
      <w:r w:rsidR="00C561D7" w:rsidRPr="00C561D7">
        <w:rPr>
          <w:b/>
          <w:bCs/>
          <w:i/>
          <w:iCs/>
        </w:rPr>
        <w:t xml:space="preserve"> should conduct an audit of monitoring solutions and systems that are currently in place in T</w:t>
      </w:r>
      <w:r>
        <w:rPr>
          <w:b/>
          <w:bCs/>
          <w:i/>
          <w:iCs/>
        </w:rPr>
        <w:t>he Gambia</w:t>
      </w:r>
      <w:r w:rsidR="00C561D7" w:rsidRPr="00C561D7">
        <w:rPr>
          <w:b/>
          <w:bCs/>
          <w:i/>
          <w:iCs/>
        </w:rPr>
        <w:t>. This will provide the necessary input information for an aggregator solution for the early warning system.</w:t>
      </w:r>
    </w:p>
    <w:p w14:paraId="73239552" w14:textId="560B2DC5" w:rsidR="00C561D7" w:rsidRPr="00C561D7" w:rsidRDefault="00FE2611" w:rsidP="00C561D7">
      <w:pPr>
        <w:rPr>
          <w:b/>
          <w:bCs/>
        </w:rPr>
      </w:pPr>
      <w:r>
        <w:rPr>
          <w:b/>
          <w:bCs/>
          <w:i/>
          <w:iCs/>
        </w:rPr>
        <w:t>The Gambia</w:t>
      </w:r>
      <w:r w:rsidR="00C561D7" w:rsidRPr="00C561D7">
        <w:rPr>
          <w:b/>
          <w:bCs/>
          <w:i/>
          <w:iCs/>
        </w:rPr>
        <w:t xml:space="preserve"> must continue to develop surveillance and monitoring systems for probable threats prior to the occurrence of disasters and/or emergencies however these should be integrated into any early warning system that is to be developed.</w:t>
      </w:r>
    </w:p>
    <w:p w14:paraId="3724563D" w14:textId="5E7DDE80" w:rsidR="00C561D7" w:rsidRDefault="00C561D7" w:rsidP="00C561D7">
      <w:pPr>
        <w:rPr>
          <w:b/>
          <w:bCs/>
          <w:i/>
          <w:iCs/>
        </w:rPr>
      </w:pPr>
      <w:r w:rsidRPr="00C561D7">
        <w:rPr>
          <w:b/>
          <w:bCs/>
          <w:i/>
          <w:iCs/>
        </w:rPr>
        <w:t xml:space="preserve">Utilising </w:t>
      </w:r>
      <w:r w:rsidRPr="00020ADD">
        <w:rPr>
          <w:b/>
          <w:bCs/>
          <w:i/>
          <w:iCs/>
        </w:rPr>
        <w:t xml:space="preserve">this information </w:t>
      </w:r>
      <w:r w:rsidR="008858AE">
        <w:rPr>
          <w:b/>
          <w:bCs/>
          <w:i/>
          <w:iCs/>
        </w:rPr>
        <w:t>NDMA</w:t>
      </w:r>
      <w:r w:rsidRPr="00020ADD">
        <w:rPr>
          <w:b/>
          <w:bCs/>
          <w:i/>
          <w:iCs/>
        </w:rPr>
        <w:t xml:space="preserve"> and M</w:t>
      </w:r>
      <w:r w:rsidR="00EF54BA">
        <w:rPr>
          <w:b/>
          <w:bCs/>
          <w:i/>
          <w:iCs/>
        </w:rPr>
        <w:t>oCDE</w:t>
      </w:r>
      <w:r w:rsidRPr="00020ADD">
        <w:rPr>
          <w:b/>
          <w:bCs/>
          <w:i/>
          <w:iCs/>
        </w:rPr>
        <w:t xml:space="preserve"> should</w:t>
      </w:r>
      <w:r w:rsidRPr="00C561D7">
        <w:rPr>
          <w:b/>
          <w:bCs/>
          <w:i/>
          <w:iCs/>
        </w:rPr>
        <w:t xml:space="preserve"> move to develop and improve </w:t>
      </w:r>
      <w:r w:rsidR="004D1E3D">
        <w:rPr>
          <w:b/>
          <w:bCs/>
          <w:i/>
          <w:iCs/>
        </w:rPr>
        <w:t xml:space="preserve">the </w:t>
      </w:r>
      <w:r w:rsidRPr="00C561D7">
        <w:rPr>
          <w:b/>
          <w:bCs/>
          <w:i/>
          <w:iCs/>
        </w:rPr>
        <w:t xml:space="preserve">early warning and alerting systems strategy including the implementation/development of a centralised alert aggregator to take advantage of the Common Alert Protocol (CAP) and to help with consistent, authoritative, impact-based forecast and alert messaging. </w:t>
      </w:r>
      <w:r w:rsidR="00C01563" w:rsidRPr="00C01563">
        <w:rPr>
          <w:b/>
          <w:bCs/>
          <w:i/>
          <w:iCs/>
        </w:rPr>
        <w:t xml:space="preserve">The appropriate staff should undertake WMO’s online CAP training, a </w:t>
      </w:r>
      <w:proofErr w:type="gramStart"/>
      <w:r w:rsidR="00C01563" w:rsidRPr="00C01563">
        <w:rPr>
          <w:b/>
          <w:bCs/>
          <w:i/>
          <w:iCs/>
        </w:rPr>
        <w:t>CREWS</w:t>
      </w:r>
      <w:proofErr w:type="gramEnd"/>
      <w:r w:rsidR="00C01563" w:rsidRPr="00C01563">
        <w:rPr>
          <w:b/>
          <w:bCs/>
          <w:i/>
          <w:iCs/>
        </w:rPr>
        <w:t xml:space="preserve"> workshop if not already undertaken or an ITU CAP Implementation Workshop</w:t>
      </w:r>
      <w:r w:rsidR="008858AE">
        <w:rPr>
          <w:b/>
          <w:bCs/>
          <w:i/>
          <w:iCs/>
        </w:rPr>
        <w:t>.</w:t>
      </w:r>
    </w:p>
    <w:p w14:paraId="39A12470" w14:textId="77777777" w:rsidR="008858AE" w:rsidRPr="00C561D7" w:rsidRDefault="008858AE" w:rsidP="008858AE">
      <w:pPr>
        <w:rPr>
          <w:b/>
          <w:bCs/>
          <w:i/>
          <w:iCs/>
        </w:rPr>
      </w:pPr>
      <w:r w:rsidRPr="00C561D7">
        <w:rPr>
          <w:b/>
          <w:bCs/>
          <w:i/>
          <w:iCs/>
        </w:rPr>
        <w:t>The current Common Alerting Protocol (CAP) Alerting implementation should be examined to assess its efficacy and identify opportunities for expanding its reach to as broad several different channels as possible. Any dependencies for downloading applications to mobile devices should be assessed for limitations in scope and coverage.</w:t>
      </w:r>
    </w:p>
    <w:p w14:paraId="080D27EC" w14:textId="4BAC3943" w:rsidR="00C561D7" w:rsidRPr="00C561D7" w:rsidRDefault="008858AE" w:rsidP="00C561D7">
      <w:pPr>
        <w:rPr>
          <w:rFonts w:asciiTheme="minorHAnsi" w:hAnsiTheme="minorHAnsi" w:cstheme="minorHAnsi"/>
          <w:b/>
          <w:bCs/>
          <w:i/>
          <w:iCs/>
        </w:rPr>
      </w:pPr>
      <w:r>
        <w:rPr>
          <w:rFonts w:asciiTheme="minorHAnsi" w:hAnsiTheme="minorHAnsi" w:cstheme="minorHAnsi"/>
          <w:b/>
          <w:bCs/>
          <w:i/>
          <w:iCs/>
        </w:rPr>
        <w:t>PURA</w:t>
      </w:r>
      <w:r w:rsidR="00C561D7" w:rsidRPr="00C561D7">
        <w:rPr>
          <w:rFonts w:asciiTheme="minorHAnsi" w:hAnsiTheme="minorHAnsi" w:cstheme="minorHAnsi"/>
          <w:b/>
          <w:bCs/>
          <w:i/>
          <w:iCs/>
        </w:rPr>
        <w:t xml:space="preserve"> should work with the carriers to develop/implement a Cell Broadcast capability to send alerts via the mobile network infrastructure. Ideally this will build on the CAP implementation.</w:t>
      </w:r>
    </w:p>
    <w:p w14:paraId="7BC14054" w14:textId="3F599980" w:rsidR="00C561D7" w:rsidRPr="00C561D7" w:rsidRDefault="008858AE" w:rsidP="00C561D7">
      <w:pPr>
        <w:rPr>
          <w:rFonts w:asciiTheme="minorHAnsi" w:hAnsiTheme="minorHAnsi" w:cstheme="minorHAnsi"/>
          <w:b/>
          <w:bCs/>
          <w:i/>
          <w:iCs/>
        </w:rPr>
      </w:pPr>
      <w:r>
        <w:rPr>
          <w:rFonts w:asciiTheme="minorHAnsi" w:hAnsiTheme="minorHAnsi" w:cstheme="minorHAnsi"/>
          <w:b/>
          <w:bCs/>
          <w:i/>
          <w:iCs/>
        </w:rPr>
        <w:t>PURA</w:t>
      </w:r>
      <w:r w:rsidR="00C561D7" w:rsidRPr="00C561D7">
        <w:rPr>
          <w:rFonts w:asciiTheme="minorHAnsi" w:hAnsiTheme="minorHAnsi" w:cstheme="minorHAnsi"/>
          <w:b/>
          <w:bCs/>
          <w:i/>
          <w:iCs/>
        </w:rPr>
        <w:t xml:space="preserve"> should work with broadcasters to develop/implement the capability to send alerts via the broadcast radio and TV network infrastructure. Ideally this will build on the CAP implementation</w:t>
      </w:r>
    </w:p>
    <w:p w14:paraId="63EBBD69" w14:textId="2B8D9BDB" w:rsidR="00C9276E" w:rsidRPr="00C561D7" w:rsidRDefault="00C561D7" w:rsidP="00C9276E">
      <w:pPr>
        <w:rPr>
          <w:b/>
          <w:bCs/>
        </w:rPr>
      </w:pPr>
      <w:r w:rsidRPr="00C561D7">
        <w:rPr>
          <w:b/>
          <w:bCs/>
          <w:i/>
          <w:iCs/>
        </w:rPr>
        <w:t>The role of amateur radio should also be reviewed to establish opportunities for further refinement</w:t>
      </w:r>
      <w:r w:rsidR="00C9276E" w:rsidRPr="00C561D7">
        <w:rPr>
          <w:b/>
          <w:bCs/>
          <w:i/>
          <w:iCs/>
        </w:rPr>
        <w:t>.</w:t>
      </w:r>
    </w:p>
    <w:p w14:paraId="537382D3" w14:textId="5F3E78B7" w:rsidR="009A6C50" w:rsidRPr="00DE1BD4" w:rsidRDefault="009A6C50" w:rsidP="009A6C50">
      <w:pPr>
        <w:rPr>
          <w:b/>
          <w:i/>
          <w:iCs/>
          <w:color w:val="4472C4" w:themeColor="accent1"/>
        </w:rPr>
      </w:pPr>
      <w:r w:rsidRPr="00DE1BD4">
        <w:rPr>
          <w:b/>
          <w:i/>
          <w:iCs/>
          <w:color w:val="4472C4" w:themeColor="accent1"/>
        </w:rPr>
        <w:t>Item 9: Training and Drills</w:t>
      </w:r>
    </w:p>
    <w:p w14:paraId="116EB305" w14:textId="7ACA7A50" w:rsidR="009A6C50" w:rsidRPr="00DE1BD4" w:rsidRDefault="009A6C50" w:rsidP="009A6C50">
      <w:pPr>
        <w:rPr>
          <w:i/>
          <w:iCs/>
        </w:rPr>
      </w:pPr>
      <w:r w:rsidRPr="00DE1BD4">
        <w:rPr>
          <w:i/>
          <w:iCs/>
        </w:rPr>
        <w:t>Telecommunications trainings and drills for emergencies should be regularly carried out to improve emergency responders’ capacity with communications equipment as well as to enhance their ability to execute policies, plans, and procedures governing the use of communications networks.</w:t>
      </w:r>
    </w:p>
    <w:p w14:paraId="5C8F3848"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7CBC1D84" w14:textId="77777777" w:rsidR="00C561D7" w:rsidRPr="00C561D7" w:rsidRDefault="00C561D7" w:rsidP="00C561D7">
      <w:pPr>
        <w:rPr>
          <w:b/>
          <w:bCs/>
          <w:i/>
          <w:iCs/>
        </w:rPr>
      </w:pPr>
      <w:r w:rsidRPr="00C561D7">
        <w:rPr>
          <w:b/>
          <w:bCs/>
          <w:i/>
          <w:iCs/>
        </w:rPr>
        <w:t xml:space="preserve">Training and drills should occur in all the areas identified throughout the planning process, including institutional capacity and management of telecom/ICT networks. Telecom/ICT training and drills for emergencies should be regularly carried out to improve emergency responders’ capacity with telecom/ICT equipment, as well as to enhance their ability to execute policies, plans and procedures governing the use of telecommunications networks. </w:t>
      </w:r>
    </w:p>
    <w:p w14:paraId="57C54637" w14:textId="77777777" w:rsidR="00C561D7" w:rsidRPr="00C561D7" w:rsidRDefault="00C561D7" w:rsidP="00C561D7">
      <w:pPr>
        <w:rPr>
          <w:b/>
          <w:bCs/>
          <w:i/>
          <w:iCs/>
        </w:rPr>
      </w:pPr>
      <w:r w:rsidRPr="00C561D7">
        <w:rPr>
          <w:b/>
          <w:bCs/>
          <w:i/>
          <w:iCs/>
        </w:rPr>
        <w:t>Table-top exercises (TTX), or discussions of a simulated emergency in a low-stress environment, should conducted, to test the NETP and other procedures for improvement.</w:t>
      </w:r>
    </w:p>
    <w:p w14:paraId="15B78209" w14:textId="46239029" w:rsidR="003A732E" w:rsidRPr="00C561D7" w:rsidRDefault="00C561D7" w:rsidP="00C561D7">
      <w:pPr>
        <w:rPr>
          <w:b/>
          <w:bCs/>
          <w:i/>
          <w:iCs/>
        </w:rPr>
      </w:pPr>
      <w:r w:rsidRPr="00C561D7">
        <w:rPr>
          <w:b/>
          <w:bCs/>
          <w:i/>
          <w:iCs/>
        </w:rPr>
        <w:t>The telecom/ICT sector, as well as any other relevant actors involved in telecom/ICT management including enablers for ICT (such as power and transport agencies for example), should actively participate in these drills and exercises, and develop and carry out their own, to effectively implement the NETP. These sector-specific exercises and drills should be coordinated with those developed by other relevant stakeholders to avoid duplication of efforts. The ICT simulation exercise can be conducted at national (strategic level) and sub-national (tactical level).</w:t>
      </w:r>
    </w:p>
    <w:p w14:paraId="65749D09" w14:textId="2957FF0C" w:rsidR="009A6C50" w:rsidRPr="00DE1BD4" w:rsidRDefault="009A6C50" w:rsidP="009A6C50">
      <w:pPr>
        <w:rPr>
          <w:b/>
          <w:i/>
          <w:iCs/>
          <w:color w:val="4472C4" w:themeColor="accent1"/>
        </w:rPr>
      </w:pPr>
      <w:r w:rsidRPr="00DE1BD4">
        <w:rPr>
          <w:b/>
          <w:i/>
          <w:iCs/>
          <w:color w:val="4472C4" w:themeColor="accent1"/>
        </w:rPr>
        <w:t>Item 10: Accessibility</w:t>
      </w:r>
    </w:p>
    <w:p w14:paraId="45B9597B" w14:textId="64974F7A" w:rsidR="009A6C50" w:rsidRPr="00DE1BD4" w:rsidRDefault="009A6C50" w:rsidP="009A6C50">
      <w:pPr>
        <w:rPr>
          <w:i/>
        </w:rPr>
      </w:pPr>
      <w:r w:rsidRPr="00DE1BD4">
        <w:rPr>
          <w:i/>
        </w:rPr>
        <w:t>Each country’s DRM Authorities – including the Ministry responsible for telecom/ICTs and the Telecoms NRA, working together with network operators and telecom/ICT service providers, should develop mechanisms to understand the accessibility requirements needed to guarantee that vital digital communication technologies are inclusive and, therefore, are accessible to all persons, including People With Disabilities (PWDs), the elderly, women and girls, and refugees and immigrants.</w:t>
      </w:r>
    </w:p>
    <w:p w14:paraId="152DB27B"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56F6A51F" w14:textId="281862BF" w:rsidR="00D26D21" w:rsidRPr="00D26D21" w:rsidRDefault="00FE2611" w:rsidP="00D26D21">
      <w:pPr>
        <w:pStyle w:val="paragraph"/>
        <w:spacing w:before="0" w:beforeAutospacing="0" w:after="0" w:afterAutospacing="0"/>
        <w:jc w:val="both"/>
        <w:textAlignment w:val="baseline"/>
        <w:rPr>
          <w:rFonts w:ascii="Segoe UI" w:hAnsi="Segoe UI" w:cs="Segoe UI"/>
          <w:b/>
          <w:bCs/>
          <w:i/>
          <w:iCs/>
          <w:sz w:val="18"/>
          <w:szCs w:val="18"/>
        </w:rPr>
      </w:pPr>
      <w:r>
        <w:rPr>
          <w:rStyle w:val="normaltextrun"/>
          <w:rFonts w:ascii="Calibri" w:hAnsi="Calibri" w:cs="Calibri"/>
          <w:b/>
          <w:bCs/>
          <w:i/>
          <w:iCs/>
          <w:sz w:val="22"/>
          <w:szCs w:val="22"/>
        </w:rPr>
        <w:t>The Gambia</w:t>
      </w:r>
      <w:r w:rsidR="00D26D21" w:rsidRPr="00D26D21">
        <w:rPr>
          <w:rStyle w:val="normaltextrun"/>
          <w:rFonts w:ascii="Calibri" w:hAnsi="Calibri" w:cs="Calibri"/>
          <w:b/>
          <w:bCs/>
          <w:i/>
          <w:iCs/>
          <w:sz w:val="22"/>
          <w:szCs w:val="22"/>
        </w:rPr>
        <w:t>’s authorities, working together with network operators and telecom/ICT service providers, should develop mechanisms to guarantee that vital telecommunication technologies are inclusive and therefore accessible to all persons, including people with disabilities, the elderly, women and girls, as well as refugees and immigrants. This should be linked to the early warning systems.</w:t>
      </w:r>
    </w:p>
    <w:p w14:paraId="4F2977E5" w14:textId="77777777" w:rsidR="00D26D21" w:rsidRPr="00D26D21" w:rsidRDefault="00D26D21" w:rsidP="00D26D21">
      <w:pPr>
        <w:pStyle w:val="paragraph"/>
        <w:spacing w:before="0" w:beforeAutospacing="0" w:after="0" w:afterAutospacing="0"/>
        <w:jc w:val="both"/>
        <w:textAlignment w:val="baseline"/>
        <w:rPr>
          <w:rStyle w:val="normaltextrun"/>
          <w:rFonts w:ascii="Calibri" w:hAnsi="Calibri" w:cs="Calibri"/>
          <w:b/>
          <w:bCs/>
          <w:i/>
          <w:iCs/>
          <w:sz w:val="22"/>
          <w:szCs w:val="22"/>
        </w:rPr>
      </w:pPr>
    </w:p>
    <w:p w14:paraId="04E959AC" w14:textId="77777777" w:rsidR="00D26D21" w:rsidRPr="00D26D21" w:rsidRDefault="00D26D21" w:rsidP="00D26D21">
      <w:pPr>
        <w:pStyle w:val="paragraph"/>
        <w:spacing w:before="0" w:beforeAutospacing="0" w:after="0" w:afterAutospacing="0"/>
        <w:jc w:val="both"/>
        <w:textAlignment w:val="baseline"/>
        <w:rPr>
          <w:rStyle w:val="eop"/>
          <w:rFonts w:ascii="Calibri" w:hAnsi="Calibri" w:cs="Calibri"/>
          <w:b/>
          <w:bCs/>
          <w:i/>
          <w:iCs/>
          <w:sz w:val="22"/>
          <w:szCs w:val="22"/>
        </w:rPr>
      </w:pPr>
      <w:r w:rsidRPr="00D26D21">
        <w:rPr>
          <w:rStyle w:val="normaltextrun"/>
          <w:rFonts w:ascii="Calibri" w:hAnsi="Calibri" w:cs="Calibri"/>
          <w:b/>
          <w:bCs/>
          <w:i/>
          <w:iCs/>
          <w:sz w:val="22"/>
          <w:szCs w:val="22"/>
        </w:rPr>
        <w:t>Where possible, working in collaboration with network providers, these messages should be via geo-location capabilities to those at risk.</w:t>
      </w:r>
    </w:p>
    <w:p w14:paraId="0721C7EC" w14:textId="77777777" w:rsidR="00D26D21" w:rsidRPr="00D26D21" w:rsidRDefault="00D26D21" w:rsidP="00D26D21">
      <w:pPr>
        <w:pStyle w:val="paragraph"/>
        <w:spacing w:before="0" w:beforeAutospacing="0" w:after="0" w:afterAutospacing="0"/>
        <w:jc w:val="both"/>
        <w:textAlignment w:val="baseline"/>
        <w:rPr>
          <w:rFonts w:ascii="Segoe UI" w:hAnsi="Segoe UI" w:cs="Segoe UI"/>
          <w:b/>
          <w:bCs/>
          <w:i/>
          <w:iCs/>
          <w:sz w:val="18"/>
          <w:szCs w:val="18"/>
        </w:rPr>
      </w:pPr>
    </w:p>
    <w:p w14:paraId="1524C39F" w14:textId="3E7B4328" w:rsidR="00965886" w:rsidRDefault="00D26D21" w:rsidP="00D26D21">
      <w:pPr>
        <w:pStyle w:val="paragraph"/>
        <w:spacing w:before="0" w:beforeAutospacing="0" w:after="0" w:afterAutospacing="0"/>
        <w:jc w:val="both"/>
        <w:textAlignment w:val="baseline"/>
        <w:rPr>
          <w:rStyle w:val="normaltextrun"/>
          <w:rFonts w:ascii="Calibri" w:hAnsi="Calibri" w:cs="Calibri"/>
          <w:b/>
          <w:bCs/>
          <w:i/>
          <w:iCs/>
          <w:sz w:val="22"/>
          <w:szCs w:val="22"/>
        </w:rPr>
      </w:pPr>
      <w:r w:rsidRPr="00D26D21">
        <w:rPr>
          <w:rStyle w:val="normaltextrun"/>
          <w:rFonts w:ascii="Calibri" w:hAnsi="Calibri" w:cs="Calibri"/>
          <w:b/>
          <w:bCs/>
          <w:i/>
          <w:iCs/>
          <w:sz w:val="22"/>
          <w:szCs w:val="22"/>
        </w:rPr>
        <w:t>All warning messages should be issued in the most appropriate languages and sign language and/or captions and infographics should be used where appropriate for the medium.</w:t>
      </w:r>
    </w:p>
    <w:p w14:paraId="4A75B358" w14:textId="77777777" w:rsidR="00D26D21" w:rsidRPr="00D26D21" w:rsidRDefault="00D26D21" w:rsidP="00D26D21">
      <w:pPr>
        <w:pStyle w:val="paragraph"/>
        <w:spacing w:before="0" w:beforeAutospacing="0" w:after="0" w:afterAutospacing="0"/>
        <w:jc w:val="both"/>
        <w:textAlignment w:val="baseline"/>
        <w:rPr>
          <w:rFonts w:ascii="Calibri" w:hAnsi="Calibri" w:cs="Calibri"/>
          <w:b/>
          <w:bCs/>
          <w:i/>
          <w:iCs/>
          <w:sz w:val="22"/>
          <w:szCs w:val="22"/>
        </w:rPr>
      </w:pPr>
    </w:p>
    <w:p w14:paraId="165B9000" w14:textId="444B5219" w:rsidR="009A6C50" w:rsidRPr="00DE1BD4" w:rsidRDefault="009A6C50" w:rsidP="009A6C50">
      <w:pPr>
        <w:rPr>
          <w:b/>
          <w:i/>
          <w:iCs/>
          <w:color w:val="4472C4" w:themeColor="accent1"/>
        </w:rPr>
      </w:pPr>
      <w:r w:rsidRPr="00DE1BD4">
        <w:rPr>
          <w:b/>
          <w:i/>
          <w:iCs/>
          <w:color w:val="4472C4" w:themeColor="accent1"/>
        </w:rPr>
        <w:t>Item 11: Contingency and Business Continuity Plans</w:t>
      </w:r>
    </w:p>
    <w:p w14:paraId="51B017B5" w14:textId="1FB6BDAE" w:rsidR="009A6C50" w:rsidRPr="00DE1BD4" w:rsidRDefault="009A6C50" w:rsidP="009A6C50">
      <w:pPr>
        <w:rPr>
          <w:i/>
          <w:iCs/>
        </w:rPr>
      </w:pPr>
      <w:r w:rsidRPr="00DE1BD4">
        <w:rPr>
          <w:i/>
          <w:iCs/>
        </w:rPr>
        <w:t xml:space="preserve">Public and private satellite and terrestrial networks, including mobile, fixed, and broadcasting operators must each keep their contingency and business continuity plans for emergencies updated. </w:t>
      </w:r>
    </w:p>
    <w:p w14:paraId="48EC55A1"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7676D9BE" w14:textId="7B9B4B22" w:rsidR="00F52D80" w:rsidRPr="007C5947" w:rsidRDefault="007C5947" w:rsidP="00F52D80">
      <w:pPr>
        <w:rPr>
          <w:i/>
          <w:iCs/>
        </w:rPr>
      </w:pPr>
      <w:r w:rsidRPr="007C5947">
        <w:rPr>
          <w:b/>
          <w:bCs/>
          <w:i/>
          <w:iCs/>
        </w:rPr>
        <w:t>Telecom/ICT network and service providers must develop contingency plans for emergencies in line with any updated national plans, and in conjunction with the authorities responsible for telecom/ICTs and for disaster risk management. Measures such as network redundancy, secondary energy sources, and developing solutions for international cable cuts, among others, must be considered and included in the network design, especially in those areas at risk according to the hazard maps, and considering the network vulnerability analysis</w:t>
      </w:r>
      <w:r w:rsidR="00F52D80" w:rsidRPr="00DE1BD4">
        <w:rPr>
          <w:b/>
          <w:bCs/>
          <w:i/>
          <w:iCs/>
        </w:rPr>
        <w:t>.</w:t>
      </w:r>
    </w:p>
    <w:p w14:paraId="33E20825" w14:textId="2D59C93C" w:rsidR="009A6C50" w:rsidRPr="00DE1BD4" w:rsidRDefault="009A6C50" w:rsidP="009A6C50">
      <w:pPr>
        <w:rPr>
          <w:b/>
          <w:i/>
          <w:iCs/>
          <w:color w:val="4472C4" w:themeColor="accent1"/>
        </w:rPr>
      </w:pPr>
      <w:r w:rsidRPr="00DE1BD4">
        <w:rPr>
          <w:b/>
          <w:i/>
          <w:iCs/>
          <w:color w:val="4472C4" w:themeColor="accent1"/>
        </w:rPr>
        <w:t>Item 12: Standard Operating Procedures</w:t>
      </w:r>
    </w:p>
    <w:p w14:paraId="4460E5CA" w14:textId="6B83985E" w:rsidR="009A6C50" w:rsidRPr="00DE1BD4" w:rsidRDefault="009A6C50" w:rsidP="00823037">
      <w:pPr>
        <w:spacing w:after="0"/>
        <w:rPr>
          <w:i/>
          <w:iCs/>
        </w:rPr>
      </w:pPr>
      <w:r w:rsidRPr="00DE1BD4">
        <w:rPr>
          <w:i/>
          <w:iCs/>
        </w:rPr>
        <w:t>Develop, update and strengthen SOPs for emergency and disaster response related to communications within and among agencies and technical means for communication (voice/data), including interoperability.</w:t>
      </w:r>
    </w:p>
    <w:p w14:paraId="1F786B36" w14:textId="77777777" w:rsidR="006228BE" w:rsidRPr="00DE1BD4" w:rsidRDefault="006228BE" w:rsidP="006228BE">
      <w:pPr>
        <w:spacing w:before="240"/>
        <w:rPr>
          <w:b/>
          <w:bCs/>
          <w:i/>
          <w:iCs/>
          <w:color w:val="4472C4" w:themeColor="accent1"/>
        </w:rPr>
      </w:pPr>
      <w:r w:rsidRPr="00DE1BD4">
        <w:rPr>
          <w:b/>
          <w:bCs/>
          <w:i/>
          <w:iCs/>
          <w:color w:val="4472C4" w:themeColor="accent1"/>
        </w:rPr>
        <w:t>Implementation</w:t>
      </w:r>
    </w:p>
    <w:p w14:paraId="5A2093E1" w14:textId="102751A1" w:rsidR="00CD5853" w:rsidRPr="000E6ACD" w:rsidRDefault="00823037" w:rsidP="00CD5853">
      <w:pPr>
        <w:rPr>
          <w:b/>
          <w:bCs/>
          <w:i/>
          <w:iCs/>
        </w:rPr>
      </w:pPr>
      <w:r>
        <w:rPr>
          <w:b/>
          <w:bCs/>
          <w:i/>
          <w:iCs/>
        </w:rPr>
        <w:t>PURA</w:t>
      </w:r>
      <w:r w:rsidR="00CD5853" w:rsidRPr="000E6ACD">
        <w:rPr>
          <w:b/>
          <w:bCs/>
          <w:i/>
          <w:iCs/>
        </w:rPr>
        <w:t>/M</w:t>
      </w:r>
      <w:r w:rsidR="00EF54BA">
        <w:rPr>
          <w:b/>
          <w:bCs/>
          <w:i/>
          <w:iCs/>
        </w:rPr>
        <w:t>oCDE</w:t>
      </w:r>
      <w:r w:rsidR="00CD5853" w:rsidRPr="000E6ACD">
        <w:rPr>
          <w:b/>
          <w:bCs/>
          <w:i/>
          <w:iCs/>
        </w:rPr>
        <w:t>/</w:t>
      </w:r>
      <w:r>
        <w:rPr>
          <w:b/>
          <w:bCs/>
          <w:i/>
          <w:iCs/>
        </w:rPr>
        <w:t>NDMA</w:t>
      </w:r>
      <w:r w:rsidR="00CD5853" w:rsidRPr="000E6ACD">
        <w:rPr>
          <w:b/>
          <w:bCs/>
          <w:i/>
          <w:iCs/>
        </w:rPr>
        <w:t xml:space="preserve"> in conjunction with the participants in the Telecommunications Emergency Cluster should:</w:t>
      </w:r>
    </w:p>
    <w:p w14:paraId="2ED5FEDF" w14:textId="7C0031CB" w:rsidR="00CD5853" w:rsidRPr="000E6ACD" w:rsidRDefault="001D4BE3" w:rsidP="00963CF3">
      <w:pPr>
        <w:pStyle w:val="ListParagraph"/>
        <w:numPr>
          <w:ilvl w:val="0"/>
          <w:numId w:val="46"/>
        </w:numPr>
        <w:spacing w:after="0" w:line="240" w:lineRule="auto"/>
        <w:rPr>
          <w:rFonts w:asciiTheme="minorHAnsi" w:eastAsiaTheme="minorHAnsi" w:hAnsiTheme="minorHAnsi" w:cstheme="minorBidi"/>
          <w:b/>
          <w:bCs/>
          <w:i/>
          <w:iCs/>
          <w:lang w:eastAsia="en-US"/>
        </w:rPr>
      </w:pPr>
      <w:r>
        <w:rPr>
          <w:b/>
          <w:bCs/>
          <w:i/>
          <w:iCs/>
        </w:rPr>
        <w:t>Continue to d</w:t>
      </w:r>
      <w:r w:rsidR="00CD5853" w:rsidRPr="000E6ACD">
        <w:rPr>
          <w:b/>
          <w:bCs/>
          <w:i/>
          <w:iCs/>
        </w:rPr>
        <w:t xml:space="preserve">evelop </w:t>
      </w:r>
      <w:r w:rsidR="00B06AF7">
        <w:rPr>
          <w:b/>
          <w:bCs/>
          <w:i/>
          <w:iCs/>
        </w:rPr>
        <w:t>and</w:t>
      </w:r>
      <w:r w:rsidR="00CD5853" w:rsidRPr="000E6ACD">
        <w:rPr>
          <w:b/>
          <w:bCs/>
          <w:i/>
          <w:iCs/>
        </w:rPr>
        <w:t xml:space="preserve"> update </w:t>
      </w:r>
      <w:r>
        <w:rPr>
          <w:b/>
          <w:bCs/>
          <w:i/>
          <w:iCs/>
        </w:rPr>
        <w:t xml:space="preserve">the NETP </w:t>
      </w:r>
      <w:r w:rsidR="00CD5853" w:rsidRPr="000E6ACD">
        <w:rPr>
          <w:b/>
          <w:bCs/>
          <w:i/>
          <w:iCs/>
        </w:rPr>
        <w:t>Standard Operating Procedur</w:t>
      </w:r>
      <w:r w:rsidR="000B7D86">
        <w:rPr>
          <w:b/>
          <w:bCs/>
          <w:i/>
          <w:iCs/>
        </w:rPr>
        <w:t>es</w:t>
      </w:r>
      <w:r w:rsidR="00CD5853" w:rsidRPr="000E6ACD">
        <w:rPr>
          <w:b/>
          <w:bCs/>
          <w:i/>
          <w:iCs/>
        </w:rPr>
        <w:t xml:space="preserve"> for emergency and disaster response related to communications within and between agencies and network operators including the technical means for communication (voice/data), and interoperability. This should include an exhaustive list of all actions that may be required for disaster response.</w:t>
      </w:r>
    </w:p>
    <w:p w14:paraId="629F8C93" w14:textId="77777777" w:rsidR="00CD5853" w:rsidRPr="000E6ACD" w:rsidRDefault="00CD5853" w:rsidP="00963CF3">
      <w:pPr>
        <w:pStyle w:val="ListParagraph"/>
        <w:numPr>
          <w:ilvl w:val="0"/>
          <w:numId w:val="46"/>
        </w:numPr>
        <w:spacing w:after="0" w:line="240" w:lineRule="auto"/>
        <w:rPr>
          <w:b/>
          <w:bCs/>
          <w:i/>
          <w:iCs/>
        </w:rPr>
      </w:pPr>
      <w:r w:rsidRPr="000E6ACD">
        <w:rPr>
          <w:b/>
          <w:bCs/>
          <w:i/>
          <w:iCs/>
        </w:rPr>
        <w:t>Define the government entities and the contact points (key decision makers) within these entities that must maintain communication during a disaster or emergency.</w:t>
      </w:r>
    </w:p>
    <w:p w14:paraId="1DE0BBE5" w14:textId="77777777" w:rsidR="00CD5853" w:rsidRPr="000E6ACD" w:rsidRDefault="00CD5853" w:rsidP="00963CF3">
      <w:pPr>
        <w:pStyle w:val="ListParagraph"/>
        <w:numPr>
          <w:ilvl w:val="0"/>
          <w:numId w:val="46"/>
        </w:numPr>
        <w:spacing w:after="0" w:line="240" w:lineRule="auto"/>
        <w:rPr>
          <w:b/>
          <w:bCs/>
          <w:i/>
          <w:iCs/>
        </w:rPr>
      </w:pPr>
      <w:r w:rsidRPr="000E6ACD">
        <w:rPr>
          <w:b/>
          <w:bCs/>
          <w:i/>
          <w:iCs/>
        </w:rPr>
        <w:t>Maintain an updated database with these focal points of every agency, and where appropriate any associated partner organisations, countries, or other external entities, involved in disaster management.</w:t>
      </w:r>
    </w:p>
    <w:p w14:paraId="51950786" w14:textId="77777777" w:rsidR="00CD5853" w:rsidRPr="000E6ACD" w:rsidRDefault="00CD5853" w:rsidP="00963CF3">
      <w:pPr>
        <w:pStyle w:val="ListParagraph"/>
        <w:numPr>
          <w:ilvl w:val="0"/>
          <w:numId w:val="46"/>
        </w:numPr>
        <w:spacing w:after="0" w:line="240" w:lineRule="auto"/>
        <w:rPr>
          <w:b/>
          <w:bCs/>
          <w:i/>
          <w:iCs/>
        </w:rPr>
      </w:pPr>
      <w:r w:rsidRPr="000E6ACD">
        <w:rPr>
          <w:b/>
          <w:bCs/>
          <w:i/>
          <w:iCs/>
        </w:rPr>
        <w:t>Analyse the possible interoperability between the equipment (wireless) and the communication networks of the government entities.</w:t>
      </w:r>
    </w:p>
    <w:p w14:paraId="5D4E7685" w14:textId="77777777" w:rsidR="00CD5853" w:rsidRPr="000E6ACD" w:rsidRDefault="00CD5853" w:rsidP="00963CF3">
      <w:pPr>
        <w:pStyle w:val="ListParagraph"/>
        <w:numPr>
          <w:ilvl w:val="0"/>
          <w:numId w:val="46"/>
        </w:numPr>
        <w:spacing w:after="0" w:line="240" w:lineRule="auto"/>
        <w:rPr>
          <w:b/>
          <w:bCs/>
          <w:i/>
          <w:iCs/>
        </w:rPr>
      </w:pPr>
      <w:r w:rsidRPr="000E6ACD">
        <w:rPr>
          <w:b/>
          <w:bCs/>
          <w:i/>
          <w:iCs/>
        </w:rPr>
        <w:t>Establish a set of radio frequencies that can be used for the communications of the contact points (key decision makers) compatible with the radiocommunication equipment being used and ensure it is aligned for regional compatibility.</w:t>
      </w:r>
    </w:p>
    <w:p w14:paraId="721F90E7" w14:textId="77777777" w:rsidR="000E6ACD" w:rsidRPr="000E6ACD" w:rsidRDefault="00CD5853" w:rsidP="00963CF3">
      <w:pPr>
        <w:pStyle w:val="ListParagraph"/>
        <w:numPr>
          <w:ilvl w:val="0"/>
          <w:numId w:val="46"/>
        </w:numPr>
        <w:spacing w:after="0" w:line="240" w:lineRule="auto"/>
        <w:rPr>
          <w:b/>
          <w:bCs/>
          <w:i/>
          <w:iCs/>
        </w:rPr>
      </w:pPr>
      <w:r w:rsidRPr="000E6ACD">
        <w:rPr>
          <w:b/>
          <w:bCs/>
          <w:i/>
          <w:iCs/>
        </w:rPr>
        <w:t>Establish alternative methods of communications, if necessary, for example through existing communication operators.</w:t>
      </w:r>
    </w:p>
    <w:p w14:paraId="5A3E8AF3" w14:textId="25420DFE" w:rsidR="006228BE" w:rsidRPr="000E6ACD" w:rsidRDefault="00CD5853" w:rsidP="00963CF3">
      <w:pPr>
        <w:pStyle w:val="ListParagraph"/>
        <w:numPr>
          <w:ilvl w:val="0"/>
          <w:numId w:val="46"/>
        </w:numPr>
        <w:spacing w:after="0" w:line="240" w:lineRule="auto"/>
        <w:rPr>
          <w:b/>
          <w:bCs/>
          <w:i/>
          <w:iCs/>
        </w:rPr>
      </w:pPr>
      <w:r w:rsidRPr="000E6ACD">
        <w:rPr>
          <w:b/>
          <w:bCs/>
          <w:i/>
          <w:iCs/>
        </w:rPr>
        <w:t>Develop connectivity plans for the satellite equipment available, if that is the case, to be used during a response phase as well as procedures for their use as primary or alternative communications between relevant stakeholders involved in disaster response</w:t>
      </w:r>
    </w:p>
    <w:p w14:paraId="3C6A9F21" w14:textId="77777777" w:rsidR="006228BE" w:rsidRPr="00DE1BD4" w:rsidRDefault="006228BE" w:rsidP="009A6C50">
      <w:pPr>
        <w:spacing w:after="0"/>
        <w:rPr>
          <w:i/>
          <w:iCs/>
        </w:rPr>
      </w:pPr>
    </w:p>
    <w:p w14:paraId="7CE3BEF1" w14:textId="2D90EDEC" w:rsidR="009A6C50" w:rsidRPr="00DE1BD4" w:rsidRDefault="009A6C50" w:rsidP="009A6C50">
      <w:pPr>
        <w:rPr>
          <w:b/>
          <w:i/>
          <w:iCs/>
          <w:color w:val="4472C4" w:themeColor="accent1"/>
        </w:rPr>
      </w:pPr>
      <w:r w:rsidRPr="00DE1BD4">
        <w:rPr>
          <w:b/>
          <w:i/>
          <w:iCs/>
          <w:color w:val="4472C4" w:themeColor="accent1"/>
        </w:rPr>
        <w:t>Item 13: Emergency Operations Centres</w:t>
      </w:r>
    </w:p>
    <w:p w14:paraId="482129F9" w14:textId="1DBAE87B" w:rsidR="009A6C50" w:rsidRPr="00DE1BD4" w:rsidRDefault="009A6C50" w:rsidP="009A6C50">
      <w:pPr>
        <w:rPr>
          <w:i/>
          <w:iCs/>
        </w:rPr>
      </w:pPr>
      <w:r w:rsidRPr="00DE1BD4">
        <w:rPr>
          <w:i/>
          <w:iCs/>
        </w:rPr>
        <w:t>Consider planning for the development of Emergency Operations Centres (EOCs) or communication and coordination command posts to provide critical communications to users in each organisation involved during the response phase of a disaster.</w:t>
      </w:r>
    </w:p>
    <w:p w14:paraId="050E2D9F"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3A0E1C7B" w14:textId="0314263C" w:rsidR="0032483C" w:rsidRPr="0032483C" w:rsidRDefault="0032483C" w:rsidP="0032483C">
      <w:pPr>
        <w:rPr>
          <w:b/>
          <w:bCs/>
          <w:i/>
          <w:iCs/>
        </w:rPr>
      </w:pPr>
      <w:r w:rsidRPr="0032483C">
        <w:rPr>
          <w:b/>
          <w:bCs/>
          <w:i/>
          <w:iCs/>
        </w:rPr>
        <w:t xml:space="preserve">Consider planning for the support of the </w:t>
      </w:r>
      <w:r w:rsidR="00823037">
        <w:rPr>
          <w:b/>
          <w:bCs/>
          <w:i/>
          <w:iCs/>
        </w:rPr>
        <w:t>E</w:t>
      </w:r>
      <w:r w:rsidRPr="0032483C">
        <w:rPr>
          <w:b/>
          <w:bCs/>
          <w:i/>
          <w:iCs/>
        </w:rPr>
        <w:t xml:space="preserve">mergency </w:t>
      </w:r>
      <w:r w:rsidR="00823037">
        <w:rPr>
          <w:b/>
          <w:bCs/>
          <w:i/>
          <w:iCs/>
        </w:rPr>
        <w:t>O</w:t>
      </w:r>
      <w:r w:rsidRPr="0032483C">
        <w:rPr>
          <w:b/>
          <w:bCs/>
          <w:i/>
          <w:iCs/>
        </w:rPr>
        <w:t xml:space="preserve">perations </w:t>
      </w:r>
      <w:r w:rsidR="00823037">
        <w:rPr>
          <w:b/>
          <w:bCs/>
          <w:i/>
          <w:iCs/>
        </w:rPr>
        <w:t>C</w:t>
      </w:r>
      <w:r w:rsidRPr="0032483C">
        <w:rPr>
          <w:b/>
          <w:bCs/>
          <w:i/>
          <w:iCs/>
        </w:rPr>
        <w:t>entres or communication and coordination command posts to ensure that critical communications to stakeholders, first responders and the community is reliable.</w:t>
      </w:r>
    </w:p>
    <w:p w14:paraId="4A676BC1" w14:textId="77777777" w:rsidR="0032483C" w:rsidRPr="0032483C" w:rsidRDefault="0032483C" w:rsidP="0032483C">
      <w:pPr>
        <w:rPr>
          <w:rFonts w:asciiTheme="minorHAnsi" w:eastAsiaTheme="minorHAnsi" w:hAnsiTheme="minorHAnsi" w:cstheme="minorBidi"/>
          <w:b/>
          <w:bCs/>
          <w:i/>
          <w:iCs/>
          <w:lang w:eastAsia="en-US"/>
        </w:rPr>
      </w:pPr>
      <w:r w:rsidRPr="0032483C">
        <w:rPr>
          <w:b/>
          <w:bCs/>
          <w:i/>
          <w:iCs/>
        </w:rPr>
        <w:t>Consider the telecommunication aspects of positions that may be fixed in a different location, mobile, local, or remote, and in a vehicle or in a shelter, among other possibilities. Maintaining interoperable and continuous communications between command posts and the rest of the stakeholders, Shelters and other key locations, is vital for an effective response to the emergency. The network connectivity to Shelters needs to be checked to ensure it is reliable, stable, and able to cope with expected demands.</w:t>
      </w:r>
    </w:p>
    <w:p w14:paraId="7C9DB97B" w14:textId="77777777" w:rsidR="0032483C" w:rsidRDefault="0032483C" w:rsidP="0032483C">
      <w:pPr>
        <w:rPr>
          <w:b/>
          <w:bCs/>
          <w:i/>
          <w:iCs/>
        </w:rPr>
      </w:pPr>
      <w:r w:rsidRPr="0032483C">
        <w:rPr>
          <w:b/>
          <w:bCs/>
          <w:i/>
          <w:iCs/>
        </w:rPr>
        <w:t>Develop Standard Operating Procedures (SOPs) for all emergency operations centres (EOCs) that include the coordination and communication procedures and roles for every stakeholder involved in the process, such as public and private persons and agencies, and international humanitarian actors, among others. These emergency operations centres should also have defined locations and determined equipment and telecom/ICT infrastructure requirements.</w:t>
      </w:r>
    </w:p>
    <w:p w14:paraId="2C87C73B" w14:textId="77777777" w:rsidR="00EF4C95" w:rsidRDefault="00EF4C95" w:rsidP="0032483C">
      <w:pPr>
        <w:rPr>
          <w:b/>
          <w:bCs/>
          <w:i/>
          <w:iCs/>
        </w:rPr>
      </w:pPr>
    </w:p>
    <w:p w14:paraId="56326D35" w14:textId="77777777" w:rsidR="00EF4C95" w:rsidRDefault="00EF4C95" w:rsidP="0032483C">
      <w:pPr>
        <w:rPr>
          <w:b/>
          <w:bCs/>
          <w:i/>
          <w:iCs/>
        </w:rPr>
      </w:pPr>
    </w:p>
    <w:p w14:paraId="42FEBC52" w14:textId="77777777" w:rsidR="00EF4C95" w:rsidRPr="0032483C" w:rsidRDefault="00EF4C95" w:rsidP="0032483C">
      <w:pPr>
        <w:rPr>
          <w:b/>
          <w:bCs/>
          <w:i/>
          <w:iCs/>
        </w:rPr>
      </w:pPr>
    </w:p>
    <w:p w14:paraId="22183114" w14:textId="3DDA4F54" w:rsidR="009A6C50" w:rsidRPr="00DE1BD4" w:rsidRDefault="009A6C50" w:rsidP="009A6C50">
      <w:pPr>
        <w:rPr>
          <w:b/>
          <w:bCs/>
          <w:i/>
          <w:iCs/>
          <w:color w:val="4472C4" w:themeColor="accent1"/>
        </w:rPr>
      </w:pPr>
      <w:r w:rsidRPr="00DE1BD4">
        <w:rPr>
          <w:b/>
          <w:bCs/>
          <w:i/>
          <w:iCs/>
          <w:color w:val="4472C4" w:themeColor="accent1"/>
        </w:rPr>
        <w:t>Item 14: Call Centres</w:t>
      </w:r>
    </w:p>
    <w:p w14:paraId="151F8AFC" w14:textId="1B0991EC" w:rsidR="009A6C50" w:rsidRPr="00DE1BD4" w:rsidRDefault="009A6C50" w:rsidP="009A6C50">
      <w:pPr>
        <w:rPr>
          <w:i/>
          <w:iCs/>
        </w:rPr>
      </w:pPr>
      <w:bookmarkStart w:id="26" w:name="_Hlk140132521"/>
      <w:r w:rsidRPr="00DE1BD4">
        <w:rPr>
          <w:i/>
          <w:iCs/>
        </w:rPr>
        <w:t>Plan for the establishment of call centres during the response phase. These should be established to warn the affected population of new risks, disseminate updates about the emergency situation, and connect affected populations with their relatives.</w:t>
      </w:r>
    </w:p>
    <w:p w14:paraId="5830DDA2"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2642CB68" w14:textId="77777777" w:rsidR="00CB3789" w:rsidRPr="00CB3789" w:rsidRDefault="00CB3789" w:rsidP="00CB3789">
      <w:pPr>
        <w:rPr>
          <w:b/>
          <w:bCs/>
          <w:i/>
          <w:iCs/>
        </w:rPr>
      </w:pPr>
      <w:r w:rsidRPr="00CB3789">
        <w:rPr>
          <w:b/>
          <w:bCs/>
          <w:i/>
          <w:iCs/>
        </w:rPr>
        <w:t>Investigate how call centres, potentially located in the EOC or shelters, can be established during the response phase to warn the affected population of new risks, to disseminate updates about the emergency, and to connect affected populations with their relatives, using means of communication that do not congest the networks (cell broadcast, CAP, infographics, text messages, geo-located information dissemination).</w:t>
      </w:r>
    </w:p>
    <w:p w14:paraId="393A4EEA" w14:textId="62DA91C9" w:rsidR="002212EF" w:rsidRPr="00CB3789" w:rsidRDefault="00CB3789" w:rsidP="002212EF">
      <w:pPr>
        <w:rPr>
          <w:b/>
          <w:bCs/>
          <w:i/>
          <w:iCs/>
        </w:rPr>
      </w:pPr>
      <w:r w:rsidRPr="00CB3789">
        <w:rPr>
          <w:b/>
          <w:bCs/>
          <w:i/>
          <w:iCs/>
        </w:rPr>
        <w:t xml:space="preserve">To establish these call centres, </w:t>
      </w:r>
      <w:r w:rsidR="00FE2611">
        <w:rPr>
          <w:b/>
          <w:bCs/>
          <w:i/>
          <w:iCs/>
        </w:rPr>
        <w:t>The Gambia</w:t>
      </w:r>
      <w:r w:rsidRPr="00CB3789">
        <w:rPr>
          <w:b/>
          <w:bCs/>
          <w:i/>
          <w:iCs/>
        </w:rPr>
        <w:t xml:space="preserve"> could seek collaboration with telecom/ICT operators or international organisations to establish the required</w:t>
      </w:r>
      <w:r w:rsidR="00691A1D">
        <w:rPr>
          <w:b/>
          <w:bCs/>
          <w:i/>
          <w:iCs/>
        </w:rPr>
        <w:t xml:space="preserve"> building and</w:t>
      </w:r>
      <w:r w:rsidRPr="00CB3789">
        <w:rPr>
          <w:b/>
          <w:bCs/>
          <w:i/>
          <w:iCs/>
        </w:rPr>
        <w:t xml:space="preserve"> telecom/ICT infrastructure</w:t>
      </w:r>
      <w:r w:rsidR="002212EF" w:rsidRPr="00CB3789">
        <w:rPr>
          <w:b/>
          <w:bCs/>
          <w:i/>
          <w:iCs/>
        </w:rPr>
        <w:t>.</w:t>
      </w:r>
    </w:p>
    <w:bookmarkEnd w:id="26"/>
    <w:p w14:paraId="4EE32AA7" w14:textId="2A3AD4B4" w:rsidR="009A6C50" w:rsidRPr="00DE1BD4" w:rsidRDefault="009A6C50" w:rsidP="009A6C50">
      <w:pPr>
        <w:rPr>
          <w:b/>
          <w:bCs/>
          <w:i/>
          <w:iCs/>
          <w:color w:val="4472C4" w:themeColor="accent1"/>
        </w:rPr>
      </w:pPr>
      <w:r w:rsidRPr="00DE1BD4">
        <w:rPr>
          <w:b/>
          <w:bCs/>
          <w:i/>
          <w:iCs/>
          <w:color w:val="4472C4" w:themeColor="accent1"/>
        </w:rPr>
        <w:t>Item 15: Restoration and Reconstruction of the Telecom/ICT Infrastructure</w:t>
      </w:r>
    </w:p>
    <w:p w14:paraId="7BE828CC" w14:textId="77777777" w:rsidR="009A6C50" w:rsidRPr="00DE1BD4" w:rsidRDefault="009A6C50" w:rsidP="009A6C50">
      <w:pPr>
        <w:rPr>
          <w:i/>
          <w:iCs/>
        </w:rPr>
      </w:pPr>
      <w:r w:rsidRPr="00DE1BD4">
        <w:rPr>
          <w:i/>
          <w:iCs/>
        </w:rPr>
        <w:t>Restoration and reconstruction of the telecom/ICT infrastructure should be based on lessons learned and the principle of building back better. These activities should also involve the active participation of the private sector, including fixed, mobile, and satellite network and service providers.</w:t>
      </w:r>
    </w:p>
    <w:p w14:paraId="1A605FB9" w14:textId="77777777" w:rsidR="00965886" w:rsidRPr="00DE1BD4" w:rsidRDefault="00965886" w:rsidP="00965886">
      <w:pPr>
        <w:rPr>
          <w:b/>
          <w:bCs/>
          <w:i/>
          <w:iCs/>
          <w:color w:val="4472C4" w:themeColor="accent1"/>
        </w:rPr>
      </w:pPr>
      <w:r w:rsidRPr="00DE1BD4">
        <w:rPr>
          <w:b/>
          <w:bCs/>
          <w:i/>
          <w:iCs/>
          <w:color w:val="4472C4" w:themeColor="accent1"/>
        </w:rPr>
        <w:t>Implementation</w:t>
      </w:r>
    </w:p>
    <w:p w14:paraId="52912662" w14:textId="77777777" w:rsidR="00CB3789" w:rsidRPr="00CB3789" w:rsidRDefault="00CB3789" w:rsidP="00CB3789">
      <w:pPr>
        <w:rPr>
          <w:b/>
          <w:bCs/>
          <w:i/>
          <w:iCs/>
        </w:rPr>
      </w:pPr>
      <w:r w:rsidRPr="00CB3789">
        <w:rPr>
          <w:b/>
          <w:bCs/>
          <w:i/>
          <w:iCs/>
        </w:rPr>
        <w:t>Restoration and reconstruction of the telecom/ICT infrastructure should be based on lessons learned and on the principle of building back better. These activities should involve the active participation of the private sector service providers.</w:t>
      </w:r>
    </w:p>
    <w:p w14:paraId="4BDD65DC" w14:textId="1B2BD6D4" w:rsidR="00160740" w:rsidRPr="00CB3789" w:rsidRDefault="00CB3789" w:rsidP="00160740">
      <w:pPr>
        <w:rPr>
          <w:b/>
          <w:bCs/>
          <w:i/>
          <w:iCs/>
        </w:rPr>
      </w:pPr>
      <w:r w:rsidRPr="00CB3789">
        <w:rPr>
          <w:b/>
          <w:bCs/>
          <w:i/>
          <w:iCs/>
        </w:rPr>
        <w:t>Assessment, reconstruction, and improvement of telecom/ICT infrastructure can be supported on the Post Disaster Needs Assessment framework</w:t>
      </w:r>
      <w:r w:rsidR="00160740" w:rsidRPr="00CB3789">
        <w:rPr>
          <w:b/>
          <w:bCs/>
          <w:i/>
          <w:iCs/>
        </w:rPr>
        <w:t>.</w:t>
      </w:r>
    </w:p>
    <w:p w14:paraId="78AA5DE8" w14:textId="7E312448" w:rsidR="009A6C50" w:rsidRPr="00DE1BD4" w:rsidRDefault="009A6C50" w:rsidP="009A6C50">
      <w:pPr>
        <w:rPr>
          <w:b/>
          <w:bCs/>
          <w:i/>
          <w:iCs/>
          <w:color w:val="4472C4" w:themeColor="accent1"/>
        </w:rPr>
      </w:pPr>
      <w:r w:rsidRPr="00DE1BD4">
        <w:rPr>
          <w:b/>
          <w:bCs/>
          <w:i/>
          <w:iCs/>
          <w:color w:val="4472C4" w:themeColor="accent1"/>
        </w:rPr>
        <w:t>Item 16: NETP Update</w:t>
      </w:r>
    </w:p>
    <w:p w14:paraId="3AE188EA" w14:textId="49869CF2" w:rsidR="009A6C50" w:rsidRPr="00DE1BD4" w:rsidRDefault="009A6C50" w:rsidP="009A6C50">
      <w:pPr>
        <w:rPr>
          <w:i/>
          <w:iCs/>
        </w:rPr>
      </w:pPr>
      <w:r w:rsidRPr="00DE1BD4">
        <w:rPr>
          <w:i/>
          <w:iCs/>
        </w:rPr>
        <w:t>Based on the experience acquired during the disaster management, a report should be developed after the response and recovery phases that identifies lessons learned and includes necessary modifications and improvements that should be made to the NETP. The NETP should be updated every 2 to 3 years.</w:t>
      </w:r>
    </w:p>
    <w:p w14:paraId="40D16A1A" w14:textId="6C342F4D" w:rsidR="00965886" w:rsidRPr="00DE1BD4" w:rsidRDefault="00965886" w:rsidP="00965886">
      <w:pPr>
        <w:rPr>
          <w:b/>
          <w:bCs/>
          <w:i/>
          <w:iCs/>
          <w:color w:val="4472C4" w:themeColor="accent1"/>
        </w:rPr>
      </w:pPr>
      <w:r w:rsidRPr="00DE1BD4">
        <w:rPr>
          <w:b/>
          <w:bCs/>
          <w:i/>
          <w:iCs/>
          <w:color w:val="4472C4" w:themeColor="accent1"/>
        </w:rPr>
        <w:t>Implementation</w:t>
      </w:r>
    </w:p>
    <w:p w14:paraId="38121933" w14:textId="48A42655" w:rsidR="00CB3789" w:rsidRPr="00CB3789" w:rsidRDefault="00CB3789" w:rsidP="00CB3789">
      <w:pPr>
        <w:rPr>
          <w:b/>
          <w:bCs/>
          <w:i/>
          <w:iCs/>
        </w:rPr>
      </w:pPr>
      <w:r w:rsidRPr="00CB3789">
        <w:rPr>
          <w:b/>
          <w:bCs/>
          <w:i/>
          <w:iCs/>
        </w:rPr>
        <w:t xml:space="preserve">After the response and recovery phases and based on the experience acquired during the disaster management or during any drills and exercises conducted, a report should be developed identifying lessons </w:t>
      </w:r>
      <w:r w:rsidR="00F62FA2" w:rsidRPr="00CB3789">
        <w:rPr>
          <w:b/>
          <w:bCs/>
          <w:i/>
          <w:iCs/>
        </w:rPr>
        <w:t>learned and</w:t>
      </w:r>
      <w:r w:rsidRPr="00CB3789">
        <w:rPr>
          <w:b/>
          <w:bCs/>
          <w:i/>
          <w:iCs/>
        </w:rPr>
        <w:t xml:space="preserve"> including the necessary modifications and improvements that should be made to the NETP. The NETP should be reviewed every year before cyclone season and updated where necessary.</w:t>
      </w:r>
    </w:p>
    <w:p w14:paraId="46911C8B" w14:textId="1595C8EA" w:rsidR="007C5AC2" w:rsidRDefault="00F62FA2" w:rsidP="007C5AC2">
      <w:pPr>
        <w:rPr>
          <w:b/>
          <w:bCs/>
          <w:i/>
          <w:iCs/>
        </w:rPr>
      </w:pPr>
      <w:r>
        <w:rPr>
          <w:b/>
          <w:bCs/>
          <w:i/>
          <w:iCs/>
        </w:rPr>
        <w:t>PURA</w:t>
      </w:r>
      <w:r w:rsidR="00CB3789" w:rsidRPr="00CB3789">
        <w:rPr>
          <w:b/>
          <w:bCs/>
          <w:i/>
          <w:iCs/>
        </w:rPr>
        <w:t xml:space="preserve"> should review and provide feedback to the ITU on any progress, changes or NETP action items that have been implemented by an agreed timeframe (for example, six or nine months) after the validation of the NETP</w:t>
      </w:r>
      <w:r w:rsidR="007C5AC2" w:rsidRPr="00CB3789">
        <w:rPr>
          <w:b/>
          <w:bCs/>
          <w:i/>
          <w:iCs/>
        </w:rPr>
        <w:t>.</w:t>
      </w:r>
    </w:p>
    <w:p w14:paraId="1C3E81B0" w14:textId="77777777" w:rsidR="00F819EE" w:rsidRDefault="00F819EE" w:rsidP="00F819EE">
      <w:r w:rsidRPr="00F22E7E">
        <w:t xml:space="preserve">A simplified and tabulated version of the implementation tasks is provided in </w:t>
      </w:r>
      <w:r>
        <w:fldChar w:fldCharType="begin"/>
      </w:r>
      <w:r>
        <w:instrText xml:space="preserve"> REF _Ref180925327 \h </w:instrText>
      </w:r>
      <w:r>
        <w:fldChar w:fldCharType="separate"/>
      </w:r>
      <w:r>
        <w:t xml:space="preserve">Table </w:t>
      </w:r>
      <w:r>
        <w:rPr>
          <w:noProof/>
        </w:rPr>
        <w:t>1</w:t>
      </w:r>
      <w:r>
        <w:fldChar w:fldCharType="end"/>
      </w:r>
      <w:r>
        <w:t xml:space="preserve"> </w:t>
      </w:r>
      <w:r w:rsidRPr="00F22E7E">
        <w:t>below</w:t>
      </w:r>
    </w:p>
    <w:p w14:paraId="1306B130" w14:textId="527F9860" w:rsidR="00573AAD" w:rsidRPr="00573AAD" w:rsidRDefault="001317F1" w:rsidP="00D83671">
      <w:pPr>
        <w:pStyle w:val="Caption"/>
        <w:jc w:val="center"/>
      </w:pPr>
      <w:bookmarkStart w:id="27" w:name="_Toc181885854"/>
      <w:r>
        <w:t xml:space="preserve">Table </w:t>
      </w:r>
      <w:r>
        <w:fldChar w:fldCharType="begin"/>
      </w:r>
      <w:r>
        <w:instrText xml:space="preserve"> SEQ Table \* ARABIC </w:instrText>
      </w:r>
      <w:r>
        <w:fldChar w:fldCharType="separate"/>
      </w:r>
      <w:r>
        <w:rPr>
          <w:noProof/>
        </w:rPr>
        <w:t>1</w:t>
      </w:r>
      <w:r>
        <w:fldChar w:fldCharType="end"/>
      </w:r>
      <w:r>
        <w:t xml:space="preserve"> </w:t>
      </w:r>
      <w:r w:rsidR="00D83671">
        <w:t xml:space="preserve">- </w:t>
      </w:r>
      <w:r>
        <w:t>Implementation Matrix</w:t>
      </w:r>
      <w:bookmarkEnd w:id="27"/>
    </w:p>
    <w:tbl>
      <w:tblPr>
        <w:tblStyle w:val="GridTable5Dark-Accent5"/>
        <w:tblW w:w="8642" w:type="dxa"/>
        <w:tblLayout w:type="fixed"/>
        <w:tblLook w:val="04A0" w:firstRow="1" w:lastRow="0" w:firstColumn="1" w:lastColumn="0" w:noHBand="0" w:noVBand="1"/>
      </w:tblPr>
      <w:tblGrid>
        <w:gridCol w:w="1696"/>
        <w:gridCol w:w="3261"/>
        <w:gridCol w:w="1842"/>
        <w:gridCol w:w="1843"/>
      </w:tblGrid>
      <w:tr w:rsidR="004976DE" w:rsidRPr="006F1C19" w14:paraId="6F1BE170" w14:textId="77777777" w:rsidTr="00497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5F17D58" w14:textId="77777777" w:rsidR="004976DE" w:rsidRPr="00FE0882" w:rsidRDefault="004976DE" w:rsidP="004976DE">
            <w:pPr>
              <w:jc w:val="center"/>
              <w:rPr>
                <w:b w:val="0"/>
                <w:bCs w:val="0"/>
              </w:rPr>
            </w:pPr>
            <w:r w:rsidRPr="00FE0882">
              <w:t>Implementation Task</w:t>
            </w:r>
          </w:p>
        </w:tc>
        <w:tc>
          <w:tcPr>
            <w:tcW w:w="3261" w:type="dxa"/>
            <w:vAlign w:val="center"/>
          </w:tcPr>
          <w:p w14:paraId="2C6272BC" w14:textId="77777777" w:rsidR="004976DE" w:rsidRPr="00FE0882" w:rsidRDefault="004976DE" w:rsidP="004976DE">
            <w:pPr>
              <w:jc w:val="center"/>
              <w:cnfStyle w:val="100000000000" w:firstRow="1" w:lastRow="0" w:firstColumn="0" w:lastColumn="0" w:oddVBand="0" w:evenVBand="0" w:oddHBand="0" w:evenHBand="0" w:firstRowFirstColumn="0" w:firstRowLastColumn="0" w:lastRowFirstColumn="0" w:lastRowLastColumn="0"/>
              <w:rPr>
                <w:b w:val="0"/>
                <w:bCs w:val="0"/>
              </w:rPr>
            </w:pPr>
            <w:r w:rsidRPr="00FE0882">
              <w:t>Activity</w:t>
            </w:r>
          </w:p>
        </w:tc>
        <w:tc>
          <w:tcPr>
            <w:tcW w:w="1842" w:type="dxa"/>
            <w:vAlign w:val="center"/>
          </w:tcPr>
          <w:p w14:paraId="57D86100" w14:textId="77777777" w:rsidR="004976DE" w:rsidRPr="00FE0882" w:rsidRDefault="004976DE" w:rsidP="004976DE">
            <w:pPr>
              <w:jc w:val="center"/>
              <w:cnfStyle w:val="100000000000" w:firstRow="1" w:lastRow="0" w:firstColumn="0" w:lastColumn="0" w:oddVBand="0" w:evenVBand="0" w:oddHBand="0" w:evenHBand="0" w:firstRowFirstColumn="0" w:firstRowLastColumn="0" w:lastRowFirstColumn="0" w:lastRowLastColumn="0"/>
              <w:rPr>
                <w:b w:val="0"/>
                <w:bCs w:val="0"/>
              </w:rPr>
            </w:pPr>
            <w:r w:rsidRPr="00FE0882">
              <w:t>Lead</w:t>
            </w:r>
          </w:p>
        </w:tc>
        <w:tc>
          <w:tcPr>
            <w:tcW w:w="1843" w:type="dxa"/>
            <w:vAlign w:val="center"/>
          </w:tcPr>
          <w:p w14:paraId="230E1A83" w14:textId="77777777" w:rsidR="004976DE" w:rsidRPr="00FE0882" w:rsidRDefault="004976DE" w:rsidP="004976DE">
            <w:pPr>
              <w:jc w:val="center"/>
              <w:cnfStyle w:val="100000000000" w:firstRow="1" w:lastRow="0" w:firstColumn="0" w:lastColumn="0" w:oddVBand="0" w:evenVBand="0" w:oddHBand="0" w:evenHBand="0" w:firstRowFirstColumn="0" w:firstRowLastColumn="0" w:lastRowFirstColumn="0" w:lastRowLastColumn="0"/>
              <w:rPr>
                <w:b w:val="0"/>
                <w:bCs w:val="0"/>
              </w:rPr>
            </w:pPr>
            <w:r w:rsidRPr="00FE0882">
              <w:t>Timeframe</w:t>
            </w:r>
            <w:r>
              <w:t xml:space="preserve"> to Commence</w:t>
            </w:r>
          </w:p>
        </w:tc>
      </w:tr>
      <w:tr w:rsidR="004976DE" w14:paraId="52065B37"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BA47B54" w14:textId="77777777" w:rsidR="004976DE" w:rsidRPr="00382DCD" w:rsidRDefault="004976DE" w:rsidP="004976DE">
            <w:pPr>
              <w:jc w:val="center"/>
              <w:rPr>
                <w:b w:val="0"/>
                <w:bCs w:val="0"/>
                <w:highlight w:val="yellow"/>
              </w:rPr>
            </w:pPr>
            <w:r w:rsidRPr="001E28BB">
              <w:t>1</w:t>
            </w:r>
          </w:p>
        </w:tc>
        <w:tc>
          <w:tcPr>
            <w:tcW w:w="3261" w:type="dxa"/>
          </w:tcPr>
          <w:p w14:paraId="101BFFE3" w14:textId="77777777" w:rsidR="004976DE" w:rsidRPr="00FA26C7"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C</w:t>
            </w:r>
            <w:r w:rsidRPr="009C3948">
              <w:rPr>
                <w:bCs/>
              </w:rPr>
              <w:t xml:space="preserve">onsider a holistic review of the DRM framework, legislation and policies and compare against best practice examples within the </w:t>
            </w:r>
            <w:r>
              <w:rPr>
                <w:bCs/>
              </w:rPr>
              <w:t>African</w:t>
            </w:r>
            <w:r w:rsidRPr="009C3948">
              <w:rPr>
                <w:bCs/>
              </w:rPr>
              <w:t xml:space="preserve"> community. </w:t>
            </w:r>
          </w:p>
        </w:tc>
        <w:tc>
          <w:tcPr>
            <w:tcW w:w="1842" w:type="dxa"/>
            <w:vAlign w:val="center"/>
          </w:tcPr>
          <w:p w14:paraId="1D346E0D"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w:t>
            </w:r>
          </w:p>
        </w:tc>
        <w:tc>
          <w:tcPr>
            <w:tcW w:w="1843" w:type="dxa"/>
            <w:vAlign w:val="center"/>
          </w:tcPr>
          <w:p w14:paraId="7F6EA03E"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Now - Ongoing</w:t>
            </w:r>
          </w:p>
        </w:tc>
      </w:tr>
      <w:tr w:rsidR="004976DE" w14:paraId="3D694191" w14:textId="77777777" w:rsidTr="004976DE">
        <w:trPr>
          <w:trHeight w:val="816"/>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8E62E03" w14:textId="77777777" w:rsidR="004976DE" w:rsidRPr="00382DCD" w:rsidRDefault="004976DE" w:rsidP="004976DE">
            <w:pPr>
              <w:jc w:val="center"/>
              <w:rPr>
                <w:b w:val="0"/>
                <w:bCs w:val="0"/>
                <w:highlight w:val="yellow"/>
              </w:rPr>
            </w:pPr>
            <w:r w:rsidRPr="00B73E1A">
              <w:t>2</w:t>
            </w:r>
          </w:p>
        </w:tc>
        <w:tc>
          <w:tcPr>
            <w:tcW w:w="3261" w:type="dxa"/>
          </w:tcPr>
          <w:p w14:paraId="11800B8C" w14:textId="77777777" w:rsidR="004976DE"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C</w:t>
            </w:r>
            <w:r w:rsidRPr="00BA35BD">
              <w:rPr>
                <w:bCs/>
              </w:rPr>
              <w:t>ompletion</w:t>
            </w:r>
            <w:r>
              <w:rPr>
                <w:bCs/>
              </w:rPr>
              <w:t xml:space="preserve"> and implementation</w:t>
            </w:r>
            <w:r w:rsidRPr="00BA35BD">
              <w:rPr>
                <w:bCs/>
              </w:rPr>
              <w:t xml:space="preserve"> of </w:t>
            </w:r>
            <w:r>
              <w:rPr>
                <w:bCs/>
              </w:rPr>
              <w:t>T</w:t>
            </w:r>
            <w:r w:rsidRPr="00BA35BD">
              <w:rPr>
                <w:bCs/>
              </w:rPr>
              <w:t xml:space="preserve">he </w:t>
            </w:r>
            <w:r>
              <w:rPr>
                <w:bCs/>
              </w:rPr>
              <w:t>Gambian</w:t>
            </w:r>
            <w:r w:rsidRPr="00BA35BD">
              <w:rPr>
                <w:bCs/>
              </w:rPr>
              <w:t xml:space="preserve"> NETP</w:t>
            </w:r>
          </w:p>
        </w:tc>
        <w:tc>
          <w:tcPr>
            <w:tcW w:w="1842" w:type="dxa"/>
            <w:vAlign w:val="center"/>
          </w:tcPr>
          <w:p w14:paraId="7847C742"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74B4212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Now - Ongoing</w:t>
            </w:r>
          </w:p>
        </w:tc>
      </w:tr>
      <w:tr w:rsidR="004976DE" w14:paraId="411F7E39"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A053484" w14:textId="77777777" w:rsidR="004976DE" w:rsidRDefault="004976DE" w:rsidP="004976DE">
            <w:pPr>
              <w:jc w:val="center"/>
            </w:pPr>
            <w:r>
              <w:t>3</w:t>
            </w:r>
          </w:p>
        </w:tc>
        <w:tc>
          <w:tcPr>
            <w:tcW w:w="3261" w:type="dxa"/>
          </w:tcPr>
          <w:p w14:paraId="04BC6175" w14:textId="77777777" w:rsidR="004976DE" w:rsidRPr="00BF0CFB"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Establish a</w:t>
            </w:r>
            <w:r w:rsidRPr="00BF0CFB">
              <w:rPr>
                <w:bCs/>
              </w:rPr>
              <w:t xml:space="preserve"> National Emergency Telecommunications group that provides input into the NETP on an ongoing basis and takes part in the implementation tasks identified in the NETP</w:t>
            </w:r>
          </w:p>
        </w:tc>
        <w:tc>
          <w:tcPr>
            <w:tcW w:w="1842" w:type="dxa"/>
            <w:vAlign w:val="center"/>
          </w:tcPr>
          <w:p w14:paraId="49F36D24"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1AAEDB4B"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Now</w:t>
            </w:r>
          </w:p>
        </w:tc>
      </w:tr>
      <w:tr w:rsidR="004976DE" w14:paraId="10D7137E"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03A3076" w14:textId="77777777" w:rsidR="004976DE" w:rsidRDefault="004976DE" w:rsidP="004976DE">
            <w:pPr>
              <w:jc w:val="center"/>
            </w:pPr>
          </w:p>
        </w:tc>
        <w:tc>
          <w:tcPr>
            <w:tcW w:w="3261" w:type="dxa"/>
          </w:tcPr>
          <w:p w14:paraId="03622452" w14:textId="77777777" w:rsidR="004976DE" w:rsidRPr="00BF0CFB"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Develop a</w:t>
            </w:r>
            <w:r w:rsidRPr="00BF0CFB">
              <w:rPr>
                <w:bCs/>
              </w:rPr>
              <w:t xml:space="preserve"> Terms of Reference (</w:t>
            </w:r>
            <w:proofErr w:type="spellStart"/>
            <w:r w:rsidRPr="00BF0CFB">
              <w:rPr>
                <w:bCs/>
              </w:rPr>
              <w:t>ToR</w:t>
            </w:r>
            <w:proofErr w:type="spellEnd"/>
            <w:r w:rsidRPr="00BF0CFB">
              <w:rPr>
                <w:bCs/>
              </w:rPr>
              <w:t>) for this cluster including appropriate information on members should be developed as an addendum to this NETP</w:t>
            </w:r>
          </w:p>
        </w:tc>
        <w:tc>
          <w:tcPr>
            <w:tcW w:w="1842" w:type="dxa"/>
            <w:vAlign w:val="center"/>
          </w:tcPr>
          <w:p w14:paraId="6717FE3B"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1E81103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6 Months</w:t>
            </w:r>
          </w:p>
          <w:p w14:paraId="58583F09"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4C771E6D"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Update Annually</w:t>
            </w:r>
          </w:p>
        </w:tc>
      </w:tr>
      <w:tr w:rsidR="004976DE" w14:paraId="0FF64221"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6137EB9" w14:textId="77777777" w:rsidR="004976DE" w:rsidRDefault="004976DE" w:rsidP="004976DE">
            <w:pPr>
              <w:jc w:val="center"/>
            </w:pPr>
          </w:p>
        </w:tc>
        <w:tc>
          <w:tcPr>
            <w:tcW w:w="3261" w:type="dxa"/>
          </w:tcPr>
          <w:p w14:paraId="54F150A7" w14:textId="77777777" w:rsidR="004976DE"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R</w:t>
            </w:r>
            <w:r w:rsidRPr="00BF0CFB">
              <w:rPr>
                <w:bCs/>
              </w:rPr>
              <w:t>eview and update The National</w:t>
            </w:r>
            <w:r>
              <w:rPr>
                <w:bCs/>
              </w:rPr>
              <w:t xml:space="preserve"> Disaster Management Policy</w:t>
            </w:r>
            <w:r w:rsidRPr="00BF0CFB">
              <w:rPr>
                <w:bCs/>
              </w:rPr>
              <w:t xml:space="preserve"> cluster information particularly regarding the Sectors and the functions associated with the secto</w:t>
            </w:r>
            <w:r>
              <w:rPr>
                <w:bCs/>
              </w:rPr>
              <w:t>r</w:t>
            </w:r>
          </w:p>
        </w:tc>
        <w:tc>
          <w:tcPr>
            <w:tcW w:w="1842" w:type="dxa"/>
            <w:vAlign w:val="center"/>
          </w:tcPr>
          <w:p w14:paraId="48B00184"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w:t>
            </w:r>
          </w:p>
        </w:tc>
        <w:tc>
          <w:tcPr>
            <w:tcW w:w="1843" w:type="dxa"/>
            <w:vAlign w:val="center"/>
          </w:tcPr>
          <w:p w14:paraId="2336FF8B"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6 Months</w:t>
            </w:r>
          </w:p>
        </w:tc>
      </w:tr>
      <w:tr w:rsidR="004976DE" w14:paraId="1A0A2F66"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5539C2A" w14:textId="77777777" w:rsidR="004976DE" w:rsidRDefault="004976DE" w:rsidP="004976DE">
            <w:pPr>
              <w:jc w:val="center"/>
            </w:pPr>
          </w:p>
        </w:tc>
        <w:tc>
          <w:tcPr>
            <w:tcW w:w="3261" w:type="dxa"/>
          </w:tcPr>
          <w:p w14:paraId="239AEF98" w14:textId="77777777" w:rsidR="004976DE"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BF0CFB">
              <w:rPr>
                <w:bCs/>
              </w:rPr>
              <w:t>C</w:t>
            </w:r>
            <w:r>
              <w:rPr>
                <w:bCs/>
              </w:rPr>
              <w:t xml:space="preserve">reate a </w:t>
            </w:r>
            <w:r w:rsidRPr="00BF0CFB">
              <w:rPr>
                <w:bCs/>
              </w:rPr>
              <w:t xml:space="preserve">communications </w:t>
            </w:r>
            <w:r>
              <w:rPr>
                <w:bCs/>
              </w:rPr>
              <w:t>S</w:t>
            </w:r>
            <w:r w:rsidRPr="00BF0CFB">
              <w:rPr>
                <w:bCs/>
              </w:rPr>
              <w:t>ector</w:t>
            </w:r>
            <w:r>
              <w:rPr>
                <w:bCs/>
              </w:rPr>
              <w:t xml:space="preserve">/Cluster to highlight </w:t>
            </w:r>
            <w:r w:rsidRPr="00BF0CFB">
              <w:rPr>
                <w:bCs/>
              </w:rPr>
              <w:t>the importance and relationship of telecommunications/ICT to DRM</w:t>
            </w:r>
          </w:p>
        </w:tc>
        <w:tc>
          <w:tcPr>
            <w:tcW w:w="1842" w:type="dxa"/>
            <w:vAlign w:val="center"/>
          </w:tcPr>
          <w:p w14:paraId="09E66946"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CHECK AND CONFIRM</w:t>
            </w:r>
          </w:p>
        </w:tc>
        <w:tc>
          <w:tcPr>
            <w:tcW w:w="1843" w:type="dxa"/>
            <w:vAlign w:val="center"/>
          </w:tcPr>
          <w:p w14:paraId="676147BE"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tc>
      </w:tr>
      <w:tr w:rsidR="004976DE" w14:paraId="7D570EB5"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3C91AB3" w14:textId="77777777" w:rsidR="004976DE" w:rsidRDefault="004976DE" w:rsidP="004976DE">
            <w:pPr>
              <w:jc w:val="center"/>
            </w:pPr>
            <w:r>
              <w:t>4</w:t>
            </w:r>
          </w:p>
        </w:tc>
        <w:tc>
          <w:tcPr>
            <w:tcW w:w="3261" w:type="dxa"/>
          </w:tcPr>
          <w:p w14:paraId="2511F2CF" w14:textId="77777777" w:rsidR="004976DE"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 xml:space="preserve">Review, develop and </w:t>
            </w:r>
            <w:r w:rsidRPr="00F63BAF">
              <w:rPr>
                <w:bCs/>
              </w:rPr>
              <w:t>establish specific regulations for the telecom/ICT sector on disaster risk management. These regulations should be based on its functions granted by legislation, encouraging telecom/ICT network and service providers to actively participate in each of the phases of disaster risk management</w:t>
            </w:r>
          </w:p>
        </w:tc>
        <w:tc>
          <w:tcPr>
            <w:tcW w:w="1842" w:type="dxa"/>
            <w:vAlign w:val="center"/>
          </w:tcPr>
          <w:p w14:paraId="3C9CC85D"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65BF7777"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6 Months</w:t>
            </w:r>
          </w:p>
        </w:tc>
      </w:tr>
      <w:tr w:rsidR="004976DE" w14:paraId="08A48131"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FDC26F9" w14:textId="77777777" w:rsidR="004976DE" w:rsidRPr="00097726" w:rsidRDefault="004976DE" w:rsidP="004976DE">
            <w:pPr>
              <w:jc w:val="center"/>
              <w:rPr>
                <w:b w:val="0"/>
                <w:bCs w:val="0"/>
              </w:rPr>
            </w:pPr>
            <w:r w:rsidRPr="00097726">
              <w:t>5</w:t>
            </w:r>
          </w:p>
        </w:tc>
        <w:tc>
          <w:tcPr>
            <w:tcW w:w="3261" w:type="dxa"/>
          </w:tcPr>
          <w:p w14:paraId="0BCFE39F" w14:textId="77777777" w:rsidR="004976DE" w:rsidRPr="00BF0CFB"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D</w:t>
            </w:r>
            <w:r w:rsidRPr="00BC2755">
              <w:rPr>
                <w:bCs/>
              </w:rPr>
              <w:t xml:space="preserve">evelop and </w:t>
            </w:r>
            <w:r>
              <w:rPr>
                <w:bCs/>
              </w:rPr>
              <w:t>enhance</w:t>
            </w:r>
            <w:r w:rsidRPr="00BC2755">
              <w:rPr>
                <w:bCs/>
              </w:rPr>
              <w:t xml:space="preserve"> vulnerability maps for the different types of hazards, especially those related to droughts, floods, and epidemics developed and maintained by the relevant agencies involved in assessing and monitoring natural hazards in </w:t>
            </w:r>
            <w:r>
              <w:rPr>
                <w:bCs/>
              </w:rPr>
              <w:t>The Gambia</w:t>
            </w:r>
            <w:r w:rsidRPr="00BC2755">
              <w:rPr>
                <w:bCs/>
              </w:rPr>
              <w:t>.</w:t>
            </w:r>
          </w:p>
        </w:tc>
        <w:tc>
          <w:tcPr>
            <w:tcW w:w="1842" w:type="dxa"/>
            <w:vAlign w:val="center"/>
          </w:tcPr>
          <w:p w14:paraId="415BF0F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NDMA/Academia</w:t>
            </w:r>
          </w:p>
        </w:tc>
        <w:tc>
          <w:tcPr>
            <w:tcW w:w="1843" w:type="dxa"/>
            <w:vAlign w:val="center"/>
          </w:tcPr>
          <w:p w14:paraId="7F3872B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6 - 12 Months</w:t>
            </w:r>
          </w:p>
          <w:p w14:paraId="3395FD1F"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1C1C66E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Update Annually</w:t>
            </w:r>
          </w:p>
        </w:tc>
      </w:tr>
      <w:tr w:rsidR="004976DE" w14:paraId="64F9D002"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9FCDD0A" w14:textId="77777777" w:rsidR="004976DE" w:rsidRDefault="004976DE" w:rsidP="004976DE">
            <w:pPr>
              <w:jc w:val="center"/>
            </w:pPr>
          </w:p>
        </w:tc>
        <w:tc>
          <w:tcPr>
            <w:tcW w:w="3261" w:type="dxa"/>
          </w:tcPr>
          <w:p w14:paraId="64B890DD"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A</w:t>
            </w:r>
            <w:r w:rsidRPr="00BC2755">
              <w:rPr>
                <w:bCs/>
              </w:rPr>
              <w:t>ll telecom/ICT service operators, mobile, fixed, and radio and television broadcasting operators, as well as government networks, should develop (or update) and present for approval a vulnerability analysis of the critical infrastructure of their networks</w:t>
            </w:r>
            <w:r>
              <w:rPr>
                <w:bCs/>
              </w:rPr>
              <w:t>.</w:t>
            </w:r>
          </w:p>
        </w:tc>
        <w:tc>
          <w:tcPr>
            <w:tcW w:w="1842" w:type="dxa"/>
            <w:vAlign w:val="center"/>
          </w:tcPr>
          <w:p w14:paraId="179A4C06"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15633E93"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p w14:paraId="1B645051"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p>
          <w:p w14:paraId="7269EEC4"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Update Annually</w:t>
            </w:r>
          </w:p>
        </w:tc>
      </w:tr>
      <w:tr w:rsidR="004976DE" w14:paraId="75F5E4C6"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5EADD1D7" w14:textId="77777777" w:rsidR="004976DE" w:rsidRPr="003D6FF1" w:rsidRDefault="004976DE" w:rsidP="004976DE">
            <w:pPr>
              <w:jc w:val="center"/>
              <w:rPr>
                <w:b w:val="0"/>
                <w:bCs w:val="0"/>
              </w:rPr>
            </w:pPr>
            <w:r w:rsidRPr="003D6FF1">
              <w:t>6</w:t>
            </w:r>
          </w:p>
        </w:tc>
        <w:tc>
          <w:tcPr>
            <w:tcW w:w="3261" w:type="dxa"/>
          </w:tcPr>
          <w:p w14:paraId="4D57FB46" w14:textId="77777777" w:rsidR="004976DE" w:rsidRPr="00BC2755"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Create a</w:t>
            </w:r>
            <w:r w:rsidRPr="0065368F">
              <w:rPr>
                <w:bCs/>
              </w:rPr>
              <w:t xml:space="preserve"> repository</w:t>
            </w:r>
            <w:r>
              <w:rPr>
                <w:bCs/>
              </w:rPr>
              <w:t xml:space="preserve"> or knowledge base</w:t>
            </w:r>
            <w:r w:rsidRPr="0065368F">
              <w:rPr>
                <w:bCs/>
              </w:rPr>
              <w:t xml:space="preserve"> of critical infrastructure </w:t>
            </w:r>
            <w:r>
              <w:rPr>
                <w:bCs/>
              </w:rPr>
              <w:t>to be used</w:t>
            </w:r>
            <w:r w:rsidRPr="0065368F">
              <w:rPr>
                <w:bCs/>
              </w:rPr>
              <w:t xml:space="preserve"> in a disaster situation. </w:t>
            </w:r>
          </w:p>
        </w:tc>
        <w:tc>
          <w:tcPr>
            <w:tcW w:w="1842" w:type="dxa"/>
            <w:vAlign w:val="center"/>
          </w:tcPr>
          <w:p w14:paraId="434F81EC"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5C381E3D"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Now – Ongoing</w:t>
            </w:r>
          </w:p>
          <w:p w14:paraId="6FECEC63"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6F35972F"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Update Annually</w:t>
            </w:r>
          </w:p>
        </w:tc>
      </w:tr>
      <w:tr w:rsidR="004976DE" w14:paraId="0296A013"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5568620" w14:textId="77777777" w:rsidR="004976DE" w:rsidRDefault="004976DE" w:rsidP="004976DE">
            <w:pPr>
              <w:jc w:val="center"/>
            </w:pPr>
          </w:p>
        </w:tc>
        <w:tc>
          <w:tcPr>
            <w:tcW w:w="3261" w:type="dxa"/>
          </w:tcPr>
          <w:p w14:paraId="13645FC1" w14:textId="77777777" w:rsidR="004976DE"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Establish a</w:t>
            </w:r>
            <w:r w:rsidRPr="0065368F">
              <w:rPr>
                <w:bCs/>
              </w:rPr>
              <w:t xml:space="preserve"> methodology to regularly review the network inventory and coverage of mobile and fixed telecom/ICT operators, and radio and television broadcasting.</w:t>
            </w:r>
          </w:p>
        </w:tc>
        <w:tc>
          <w:tcPr>
            <w:tcW w:w="1842" w:type="dxa"/>
            <w:vAlign w:val="center"/>
          </w:tcPr>
          <w:p w14:paraId="0CBA38C5"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5F20A63F"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5F4E9368"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7879C91" w14:textId="77777777" w:rsidR="004976DE" w:rsidRDefault="004976DE" w:rsidP="004976DE">
            <w:pPr>
              <w:jc w:val="center"/>
            </w:pPr>
          </w:p>
        </w:tc>
        <w:tc>
          <w:tcPr>
            <w:tcW w:w="3261" w:type="dxa"/>
          </w:tcPr>
          <w:p w14:paraId="588E5233" w14:textId="77777777" w:rsidR="004976DE"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M</w:t>
            </w:r>
            <w:r w:rsidRPr="0065368F">
              <w:rPr>
                <w:bCs/>
              </w:rPr>
              <w:t xml:space="preserve">aintain an updated database with the focal points in charge of technical aspects as well as with those in charge of communication of alerts and relevant information regarding disasters. Include network information and coverage of radio amateurs and first responders (police, firefighters, etc.) and identify any gaps. </w:t>
            </w:r>
          </w:p>
        </w:tc>
        <w:tc>
          <w:tcPr>
            <w:tcW w:w="1842" w:type="dxa"/>
            <w:vAlign w:val="center"/>
          </w:tcPr>
          <w:p w14:paraId="66F4521B"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45FEBF02"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6 Months</w:t>
            </w:r>
          </w:p>
          <w:p w14:paraId="58F28A77"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6BB6CFCB"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Update Annually</w:t>
            </w:r>
          </w:p>
        </w:tc>
      </w:tr>
      <w:tr w:rsidR="004976DE" w14:paraId="0B2627E6"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479F5F0" w14:textId="77777777" w:rsidR="004976DE" w:rsidRDefault="004976DE" w:rsidP="004976DE">
            <w:pPr>
              <w:jc w:val="center"/>
            </w:pPr>
          </w:p>
        </w:tc>
        <w:tc>
          <w:tcPr>
            <w:tcW w:w="3261" w:type="dxa"/>
          </w:tcPr>
          <w:p w14:paraId="35DCED60" w14:textId="77777777" w:rsidR="004976DE"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A</w:t>
            </w:r>
            <w:r w:rsidRPr="0065368F">
              <w:rPr>
                <w:bCs/>
              </w:rPr>
              <w:t xml:space="preserve">ssess other options such as </w:t>
            </w:r>
            <w:r>
              <w:rPr>
                <w:bCs/>
              </w:rPr>
              <w:t xml:space="preserve">LEO </w:t>
            </w:r>
            <w:r w:rsidRPr="0065368F">
              <w:rPr>
                <w:bCs/>
              </w:rPr>
              <w:t xml:space="preserve">satellite </w:t>
            </w:r>
            <w:r>
              <w:rPr>
                <w:bCs/>
              </w:rPr>
              <w:t>services</w:t>
            </w:r>
            <w:r w:rsidRPr="0065368F">
              <w:rPr>
                <w:bCs/>
              </w:rPr>
              <w:t xml:space="preserve">, academic networks and community </w:t>
            </w:r>
            <w:proofErr w:type="spellStart"/>
            <w:r w:rsidRPr="0065368F">
              <w:rPr>
                <w:bCs/>
              </w:rPr>
              <w:t>WiFi</w:t>
            </w:r>
            <w:proofErr w:type="spellEnd"/>
            <w:r w:rsidRPr="0065368F">
              <w:rPr>
                <w:bCs/>
              </w:rPr>
              <w:t xml:space="preserve"> to strengthen emergency response and recovery activities</w:t>
            </w:r>
          </w:p>
        </w:tc>
        <w:tc>
          <w:tcPr>
            <w:tcW w:w="1842" w:type="dxa"/>
            <w:vAlign w:val="center"/>
          </w:tcPr>
          <w:p w14:paraId="778B5902"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37E29976"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3EDF6E03"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1D568D6" w14:textId="77777777" w:rsidR="004976DE" w:rsidRDefault="004976DE" w:rsidP="004976DE">
            <w:pPr>
              <w:jc w:val="center"/>
            </w:pPr>
          </w:p>
        </w:tc>
        <w:tc>
          <w:tcPr>
            <w:tcW w:w="3261" w:type="dxa"/>
          </w:tcPr>
          <w:p w14:paraId="0323C21F" w14:textId="77777777" w:rsidR="004976DE" w:rsidRPr="0065368F"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Compile i</w:t>
            </w:r>
            <w:r w:rsidRPr="0065368F">
              <w:rPr>
                <w:bCs/>
              </w:rPr>
              <w:t xml:space="preserve">nformation on </w:t>
            </w:r>
          </w:p>
          <w:p w14:paraId="0DDAD3B7" w14:textId="77777777" w:rsidR="004976DE"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65368F">
              <w:rPr>
                <w:bCs/>
              </w:rPr>
              <w:t>VSAT capability in the country, including those systems already in situ and systems in storage for use as required.</w:t>
            </w:r>
          </w:p>
        </w:tc>
        <w:tc>
          <w:tcPr>
            <w:tcW w:w="1842" w:type="dxa"/>
            <w:vAlign w:val="center"/>
          </w:tcPr>
          <w:p w14:paraId="1EF8CCA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49D003D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Months</w:t>
            </w:r>
          </w:p>
          <w:p w14:paraId="4C308C39"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7D80523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Update Annually</w:t>
            </w:r>
          </w:p>
        </w:tc>
      </w:tr>
      <w:tr w:rsidR="004976DE" w14:paraId="62A5B4F0"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C8C3525" w14:textId="77777777" w:rsidR="004976DE" w:rsidRDefault="004976DE" w:rsidP="004976DE">
            <w:pPr>
              <w:jc w:val="center"/>
            </w:pPr>
          </w:p>
        </w:tc>
        <w:tc>
          <w:tcPr>
            <w:tcW w:w="3261" w:type="dxa"/>
          </w:tcPr>
          <w:p w14:paraId="49DF8DEE" w14:textId="77777777" w:rsidR="004976DE"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65368F">
              <w:rPr>
                <w:bCs/>
              </w:rPr>
              <w:t>Coverage maps of all mobile network operators should be reviewed and updated accordingly. Coverage maps should be easily available to the public for information purposes and should be available at a detailed level on an as-required basis.</w:t>
            </w:r>
          </w:p>
        </w:tc>
        <w:tc>
          <w:tcPr>
            <w:tcW w:w="1842" w:type="dxa"/>
            <w:vAlign w:val="center"/>
          </w:tcPr>
          <w:p w14:paraId="2054B3D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6C84D4F0"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Now</w:t>
            </w:r>
          </w:p>
          <w:p w14:paraId="3EE9E91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p>
          <w:p w14:paraId="2EA09CA2"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Update Annually</w:t>
            </w:r>
          </w:p>
        </w:tc>
      </w:tr>
      <w:tr w:rsidR="004976DE" w14:paraId="5DD99786"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A1B3CF9" w14:textId="77777777" w:rsidR="004976DE" w:rsidRDefault="004976DE" w:rsidP="004976DE">
            <w:pPr>
              <w:jc w:val="center"/>
            </w:pPr>
          </w:p>
        </w:tc>
        <w:tc>
          <w:tcPr>
            <w:tcW w:w="3261" w:type="dxa"/>
          </w:tcPr>
          <w:p w14:paraId="51FED181" w14:textId="77777777" w:rsidR="004976DE" w:rsidRPr="0065368F"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PURA</w:t>
            </w:r>
            <w:r w:rsidRPr="0090793B">
              <w:rPr>
                <w:bCs/>
              </w:rPr>
              <w:t xml:space="preserve"> should work with </w:t>
            </w:r>
            <w:r>
              <w:rPr>
                <w:bCs/>
              </w:rPr>
              <w:t>industry</w:t>
            </w:r>
            <w:r w:rsidRPr="0090793B">
              <w:rPr>
                <w:bCs/>
              </w:rPr>
              <w:t xml:space="preserve"> and subsea cable operators </w:t>
            </w:r>
            <w:r>
              <w:rPr>
                <w:bCs/>
              </w:rPr>
              <w:t xml:space="preserve">to </w:t>
            </w:r>
            <w:r w:rsidRPr="0090793B">
              <w:rPr>
                <w:bCs/>
              </w:rPr>
              <w:t>consider the options for</w:t>
            </w:r>
            <w:r>
              <w:rPr>
                <w:bCs/>
              </w:rPr>
              <w:t xml:space="preserve"> a second cable landing</w:t>
            </w:r>
            <w:r w:rsidRPr="0090793B">
              <w:rPr>
                <w:bCs/>
              </w:rPr>
              <w:t xml:space="preserve"> to ensure redundancy and resilience of this infrastructure.</w:t>
            </w:r>
          </w:p>
        </w:tc>
        <w:tc>
          <w:tcPr>
            <w:tcW w:w="1842" w:type="dxa"/>
            <w:vAlign w:val="center"/>
          </w:tcPr>
          <w:p w14:paraId="37B832C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3080F23B"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6 Months</w:t>
            </w:r>
          </w:p>
        </w:tc>
      </w:tr>
      <w:tr w:rsidR="004976DE" w14:paraId="10D8DA91"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96E490" w14:textId="77777777" w:rsidR="004976DE" w:rsidRPr="003D6FF1" w:rsidRDefault="004976DE" w:rsidP="004976DE">
            <w:pPr>
              <w:jc w:val="center"/>
              <w:rPr>
                <w:b w:val="0"/>
                <w:bCs w:val="0"/>
              </w:rPr>
            </w:pPr>
            <w:r w:rsidRPr="003D6FF1">
              <w:t>7</w:t>
            </w:r>
          </w:p>
        </w:tc>
        <w:tc>
          <w:tcPr>
            <w:tcW w:w="3261" w:type="dxa"/>
          </w:tcPr>
          <w:p w14:paraId="5ACB764D"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36146E">
              <w:rPr>
                <w:bCs/>
              </w:rPr>
              <w:t xml:space="preserve">As a non-signatory to the Tampere Convention, the relevant government agencies or entities in </w:t>
            </w:r>
            <w:r>
              <w:rPr>
                <w:bCs/>
              </w:rPr>
              <w:t>The Gambia</w:t>
            </w:r>
            <w:r w:rsidRPr="0036146E">
              <w:rPr>
                <w:bCs/>
              </w:rPr>
              <w:t xml:space="preserve"> should review existing regulations to simplify or create exemptions to any regulation that prevents the use of telecom/ICT resources for international aid </w:t>
            </w:r>
          </w:p>
        </w:tc>
        <w:tc>
          <w:tcPr>
            <w:tcW w:w="1842" w:type="dxa"/>
            <w:vAlign w:val="center"/>
          </w:tcPr>
          <w:p w14:paraId="4A8649E7"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OPM/</w:t>
            </w:r>
            <w:proofErr w:type="spellStart"/>
            <w:r w:rsidRPr="00B054C7">
              <w:rPr>
                <w:highlight w:val="yellow"/>
              </w:rPr>
              <w:t>MoFA</w:t>
            </w:r>
            <w:proofErr w:type="spellEnd"/>
            <w:r>
              <w:t>/MoCDE</w:t>
            </w:r>
          </w:p>
        </w:tc>
        <w:tc>
          <w:tcPr>
            <w:tcW w:w="1843" w:type="dxa"/>
            <w:vAlign w:val="center"/>
          </w:tcPr>
          <w:p w14:paraId="1CCE0C45"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Review process</w:t>
            </w:r>
          </w:p>
          <w:p w14:paraId="27B97561"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6 – 12 Months</w:t>
            </w:r>
          </w:p>
        </w:tc>
      </w:tr>
      <w:tr w:rsidR="004976DE" w14:paraId="6C829A66"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A45955C" w14:textId="77777777" w:rsidR="004976DE" w:rsidRDefault="004976DE" w:rsidP="004976DE">
            <w:pPr>
              <w:jc w:val="center"/>
            </w:pPr>
          </w:p>
        </w:tc>
        <w:tc>
          <w:tcPr>
            <w:tcW w:w="3261" w:type="dxa"/>
          </w:tcPr>
          <w:p w14:paraId="0A7FDC77" w14:textId="77777777" w:rsidR="004976DE" w:rsidRPr="0036146E"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Based on the outcome above, The Gambia</w:t>
            </w:r>
            <w:r w:rsidRPr="0036146E">
              <w:rPr>
                <w:bCs/>
              </w:rPr>
              <w:t xml:space="preserve"> </w:t>
            </w:r>
            <w:r>
              <w:rPr>
                <w:bCs/>
              </w:rPr>
              <w:t xml:space="preserve">should move </w:t>
            </w:r>
            <w:r w:rsidRPr="0036146E">
              <w:rPr>
                <w:bCs/>
              </w:rPr>
              <w:t>to become a signatory and ensure effective implementation of the Convention</w:t>
            </w:r>
          </w:p>
        </w:tc>
        <w:tc>
          <w:tcPr>
            <w:tcW w:w="1842" w:type="dxa"/>
            <w:vAlign w:val="center"/>
          </w:tcPr>
          <w:p w14:paraId="6639863D"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OPM/</w:t>
            </w:r>
            <w:proofErr w:type="spellStart"/>
            <w:r w:rsidRPr="00AB5D4C">
              <w:rPr>
                <w:highlight w:val="yellow"/>
              </w:rPr>
              <w:t>MoFA</w:t>
            </w:r>
            <w:proofErr w:type="spellEnd"/>
            <w:r>
              <w:t>/MoCDE</w:t>
            </w:r>
          </w:p>
        </w:tc>
        <w:tc>
          <w:tcPr>
            <w:tcW w:w="1843" w:type="dxa"/>
            <w:vAlign w:val="center"/>
          </w:tcPr>
          <w:p w14:paraId="47DFB72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12 - 24 Months</w:t>
            </w:r>
          </w:p>
        </w:tc>
      </w:tr>
      <w:tr w:rsidR="004976DE" w14:paraId="72174BAA"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96A3A95" w14:textId="77777777" w:rsidR="004976DE" w:rsidRDefault="004976DE" w:rsidP="004976DE">
            <w:pPr>
              <w:jc w:val="center"/>
            </w:pPr>
          </w:p>
        </w:tc>
        <w:tc>
          <w:tcPr>
            <w:tcW w:w="3261" w:type="dxa"/>
          </w:tcPr>
          <w:p w14:paraId="2B5645F7" w14:textId="77777777" w:rsidR="004976DE" w:rsidRPr="0036146E"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36146E">
              <w:rPr>
                <w:bCs/>
              </w:rPr>
              <w:t>Continue to maintain contacts in and work in co-operation with different international agencies, such as the International Telecommunications Union (ITU), the ETC (Emergency Telecommunications Cluster), other international bodies and with regional partners on issues related to preparedness and response to disasters or emergencies.</w:t>
            </w:r>
          </w:p>
        </w:tc>
        <w:tc>
          <w:tcPr>
            <w:tcW w:w="1842" w:type="dxa"/>
            <w:vAlign w:val="center"/>
          </w:tcPr>
          <w:p w14:paraId="27C6D46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MoCDE/PURA</w:t>
            </w:r>
          </w:p>
        </w:tc>
        <w:tc>
          <w:tcPr>
            <w:tcW w:w="1843" w:type="dxa"/>
            <w:vAlign w:val="center"/>
          </w:tcPr>
          <w:p w14:paraId="11CFF5D9"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Ongoing</w:t>
            </w:r>
          </w:p>
        </w:tc>
      </w:tr>
      <w:tr w:rsidR="004976DE" w14:paraId="5E40D7B8"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2BE9DB1" w14:textId="77777777" w:rsidR="004976DE" w:rsidRPr="00D04A89" w:rsidRDefault="004976DE" w:rsidP="004976DE">
            <w:pPr>
              <w:jc w:val="center"/>
              <w:rPr>
                <w:b w:val="0"/>
                <w:bCs w:val="0"/>
              </w:rPr>
            </w:pPr>
            <w:r w:rsidRPr="00D04A89">
              <w:t>8</w:t>
            </w:r>
          </w:p>
        </w:tc>
        <w:tc>
          <w:tcPr>
            <w:tcW w:w="3261" w:type="dxa"/>
          </w:tcPr>
          <w:p w14:paraId="65B43630" w14:textId="77777777" w:rsidR="004976DE" w:rsidRPr="00BC2755"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C</w:t>
            </w:r>
            <w:r w:rsidRPr="00AF4AE7">
              <w:rPr>
                <w:bCs/>
              </w:rPr>
              <w:t>onduct an audit of monitoring solutions and systems that are currently in place. This will provide the necessary input information for an aggregator solution for the early warning system.</w:t>
            </w:r>
          </w:p>
        </w:tc>
        <w:tc>
          <w:tcPr>
            <w:tcW w:w="1842" w:type="dxa"/>
            <w:vAlign w:val="center"/>
          </w:tcPr>
          <w:p w14:paraId="4D8FB3B2"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NDMA/MoCDE</w:t>
            </w:r>
          </w:p>
        </w:tc>
        <w:tc>
          <w:tcPr>
            <w:tcW w:w="1843" w:type="dxa"/>
            <w:vAlign w:val="center"/>
          </w:tcPr>
          <w:p w14:paraId="1CED7F7E"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6 Months</w:t>
            </w:r>
          </w:p>
        </w:tc>
      </w:tr>
      <w:tr w:rsidR="004976DE" w14:paraId="5821B6D9"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8A08A9A" w14:textId="77777777" w:rsidR="004976DE" w:rsidRDefault="004976DE" w:rsidP="004976DE">
            <w:pPr>
              <w:jc w:val="center"/>
            </w:pPr>
          </w:p>
        </w:tc>
        <w:tc>
          <w:tcPr>
            <w:tcW w:w="3261" w:type="dxa"/>
          </w:tcPr>
          <w:p w14:paraId="41F23134" w14:textId="77777777" w:rsidR="004976DE" w:rsidRPr="00AF4AE7"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C</w:t>
            </w:r>
            <w:r w:rsidRPr="00AF4AE7">
              <w:rPr>
                <w:bCs/>
              </w:rPr>
              <w:t xml:space="preserve">ontinue to develop surveillance and monitoring systems for probable threats prior to the occurrence of disasters and/or emergencies </w:t>
            </w:r>
          </w:p>
        </w:tc>
        <w:tc>
          <w:tcPr>
            <w:tcW w:w="1842" w:type="dxa"/>
            <w:vAlign w:val="center"/>
          </w:tcPr>
          <w:p w14:paraId="03566A17"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NDMA/MoCDE</w:t>
            </w:r>
          </w:p>
        </w:tc>
        <w:tc>
          <w:tcPr>
            <w:tcW w:w="1843" w:type="dxa"/>
            <w:vAlign w:val="center"/>
          </w:tcPr>
          <w:p w14:paraId="2530B1C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Ongoing</w:t>
            </w:r>
          </w:p>
        </w:tc>
      </w:tr>
      <w:tr w:rsidR="004976DE" w14:paraId="35615097"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0709793" w14:textId="77777777" w:rsidR="004976DE" w:rsidRDefault="004976DE" w:rsidP="004976DE">
            <w:pPr>
              <w:jc w:val="center"/>
            </w:pPr>
          </w:p>
        </w:tc>
        <w:tc>
          <w:tcPr>
            <w:tcW w:w="3261" w:type="dxa"/>
          </w:tcPr>
          <w:p w14:paraId="1A7395BB" w14:textId="77777777" w:rsidR="004976DE" w:rsidRPr="00AF4AE7"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AF4AE7">
              <w:rPr>
                <w:bCs/>
              </w:rPr>
              <w:t>The current Common Alerting Protocol (CAP) Alerting implementation should be examined to assess its efficacy and identify opportunities for expanding its reach to as broad several different channels as possible. Any dependencies for downloading applications to mobile devices should be assessed for limitations in scope and coverage.</w:t>
            </w:r>
          </w:p>
        </w:tc>
        <w:tc>
          <w:tcPr>
            <w:tcW w:w="1842" w:type="dxa"/>
            <w:vAlign w:val="center"/>
          </w:tcPr>
          <w:p w14:paraId="5F43EAAB"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NDMA/MoCDE/PURA</w:t>
            </w:r>
          </w:p>
        </w:tc>
        <w:tc>
          <w:tcPr>
            <w:tcW w:w="1843" w:type="dxa"/>
            <w:vAlign w:val="center"/>
          </w:tcPr>
          <w:p w14:paraId="4B8E83C1"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Months</w:t>
            </w:r>
          </w:p>
        </w:tc>
      </w:tr>
      <w:tr w:rsidR="004976DE" w14:paraId="40B11355"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15D83A6" w14:textId="77777777" w:rsidR="004976DE" w:rsidRDefault="004976DE" w:rsidP="004976DE">
            <w:pPr>
              <w:jc w:val="center"/>
            </w:pPr>
          </w:p>
        </w:tc>
        <w:tc>
          <w:tcPr>
            <w:tcW w:w="3261" w:type="dxa"/>
          </w:tcPr>
          <w:p w14:paraId="2B906C7E" w14:textId="77777777" w:rsidR="004976DE" w:rsidRPr="00AF4AE7"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M</w:t>
            </w:r>
            <w:r w:rsidRPr="00AF4AE7">
              <w:rPr>
                <w:bCs/>
              </w:rPr>
              <w:t>ove to develop and improve early warning and alerting systems strategy including the implementation/development of a centralised alert aggregator and Common Alert Protocol (CAP) to help with consistent, authoritative, impact-based forecast and alert messaging.</w:t>
            </w:r>
          </w:p>
        </w:tc>
        <w:tc>
          <w:tcPr>
            <w:tcW w:w="1842" w:type="dxa"/>
            <w:vAlign w:val="center"/>
          </w:tcPr>
          <w:p w14:paraId="5E9EFAE8"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NDMA/MoCDE</w:t>
            </w:r>
          </w:p>
        </w:tc>
        <w:tc>
          <w:tcPr>
            <w:tcW w:w="1843" w:type="dxa"/>
            <w:vAlign w:val="center"/>
          </w:tcPr>
          <w:p w14:paraId="140C8E05"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059B68A6"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43F8296" w14:textId="77777777" w:rsidR="004976DE" w:rsidRDefault="004976DE" w:rsidP="004976DE">
            <w:pPr>
              <w:jc w:val="center"/>
            </w:pPr>
          </w:p>
        </w:tc>
        <w:tc>
          <w:tcPr>
            <w:tcW w:w="3261" w:type="dxa"/>
          </w:tcPr>
          <w:p w14:paraId="7381A51B" w14:textId="77777777" w:rsidR="004976DE" w:rsidRPr="00AF4AE7"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W</w:t>
            </w:r>
            <w:r w:rsidRPr="00AF4AE7">
              <w:rPr>
                <w:bCs/>
              </w:rPr>
              <w:t xml:space="preserve">ork with the </w:t>
            </w:r>
            <w:proofErr w:type="gramStart"/>
            <w:r>
              <w:rPr>
                <w:bCs/>
              </w:rPr>
              <w:t>MNO’s</w:t>
            </w:r>
            <w:proofErr w:type="gramEnd"/>
            <w:r w:rsidRPr="00AF4AE7">
              <w:rPr>
                <w:bCs/>
              </w:rPr>
              <w:t xml:space="preserve"> to develop/implement a Cell Broadcast capability to send alerts via the mobile network infrastructure. Ideally this will build on the CAP implementation.</w:t>
            </w:r>
          </w:p>
        </w:tc>
        <w:tc>
          <w:tcPr>
            <w:tcW w:w="1842" w:type="dxa"/>
            <w:vAlign w:val="center"/>
          </w:tcPr>
          <w:p w14:paraId="4FA7FD3C"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7AAACD85"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Months</w:t>
            </w:r>
          </w:p>
        </w:tc>
      </w:tr>
      <w:tr w:rsidR="004976DE" w14:paraId="1AE61179"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60A4933" w14:textId="77777777" w:rsidR="004976DE" w:rsidRDefault="004976DE" w:rsidP="004976DE">
            <w:pPr>
              <w:jc w:val="center"/>
            </w:pPr>
          </w:p>
        </w:tc>
        <w:tc>
          <w:tcPr>
            <w:tcW w:w="3261" w:type="dxa"/>
          </w:tcPr>
          <w:p w14:paraId="43A6F967" w14:textId="77777777" w:rsidR="004976DE" w:rsidRPr="00AF4AE7"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W</w:t>
            </w:r>
            <w:r w:rsidRPr="00AF4AE7">
              <w:rPr>
                <w:bCs/>
              </w:rPr>
              <w:t>ork with broadcasters to develop/implement the capability to send alerts via the broadcast radio and TV network infrastructure. Ideally this will build on the CAP implementation</w:t>
            </w:r>
          </w:p>
        </w:tc>
        <w:tc>
          <w:tcPr>
            <w:tcW w:w="1842" w:type="dxa"/>
            <w:vAlign w:val="center"/>
          </w:tcPr>
          <w:p w14:paraId="77BAB004"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4FFF9438"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7878A892"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738FC5E" w14:textId="77777777" w:rsidR="004976DE" w:rsidRDefault="004976DE" w:rsidP="004976DE">
            <w:pPr>
              <w:jc w:val="center"/>
            </w:pPr>
          </w:p>
        </w:tc>
        <w:tc>
          <w:tcPr>
            <w:tcW w:w="3261" w:type="dxa"/>
          </w:tcPr>
          <w:p w14:paraId="30365879" w14:textId="77777777" w:rsidR="004976DE"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Review t</w:t>
            </w:r>
            <w:r w:rsidRPr="000F6F1C">
              <w:rPr>
                <w:bCs/>
              </w:rPr>
              <w:t xml:space="preserve">he role of amateur radio </w:t>
            </w:r>
            <w:r>
              <w:rPr>
                <w:bCs/>
              </w:rPr>
              <w:t>and actively encourage and build capacity of the amateur radio enthusiasts for disaster recovery situations</w:t>
            </w:r>
            <w:r w:rsidRPr="000F6F1C">
              <w:rPr>
                <w:bCs/>
              </w:rPr>
              <w:t>.</w:t>
            </w:r>
          </w:p>
        </w:tc>
        <w:tc>
          <w:tcPr>
            <w:tcW w:w="1842" w:type="dxa"/>
            <w:vAlign w:val="center"/>
          </w:tcPr>
          <w:p w14:paraId="2FECE7E2"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2E889F5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6 Months</w:t>
            </w:r>
          </w:p>
          <w:p w14:paraId="4A55CF6E"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59038E5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Ongoing</w:t>
            </w:r>
          </w:p>
        </w:tc>
      </w:tr>
      <w:tr w:rsidR="004976DE" w14:paraId="421ECFE6"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47E7EABD" w14:textId="77777777" w:rsidR="004976DE" w:rsidRPr="003D6FF1" w:rsidRDefault="004976DE" w:rsidP="004976DE">
            <w:pPr>
              <w:jc w:val="center"/>
              <w:rPr>
                <w:b w:val="0"/>
                <w:bCs w:val="0"/>
              </w:rPr>
            </w:pPr>
            <w:r w:rsidRPr="003D6FF1">
              <w:t>9</w:t>
            </w:r>
          </w:p>
        </w:tc>
        <w:tc>
          <w:tcPr>
            <w:tcW w:w="3261" w:type="dxa"/>
          </w:tcPr>
          <w:p w14:paraId="27253EAF"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0E695A">
              <w:rPr>
                <w:bCs/>
              </w:rPr>
              <w:t xml:space="preserve">Training and drills should occur in all the areas identified throughout the planning process, including institutional capacity and management of telecom/ICT networks. Telecom/ICT training and drills for emergencies should be regularly carried out to improve emergency responders’ capacity with telecom/ICT equipment, as well as to enhance their ability to execute policies, plans and procedures governing the use of telecommunications networks. </w:t>
            </w:r>
          </w:p>
        </w:tc>
        <w:tc>
          <w:tcPr>
            <w:tcW w:w="1842" w:type="dxa"/>
            <w:vAlign w:val="center"/>
          </w:tcPr>
          <w:p w14:paraId="5AE29A3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MoCDE/NDMA/PURA</w:t>
            </w:r>
          </w:p>
        </w:tc>
        <w:tc>
          <w:tcPr>
            <w:tcW w:w="1843" w:type="dxa"/>
            <w:vAlign w:val="center"/>
          </w:tcPr>
          <w:p w14:paraId="4243E7C2"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Ongoing regular schedule</w:t>
            </w:r>
          </w:p>
        </w:tc>
      </w:tr>
      <w:tr w:rsidR="004976DE" w14:paraId="248AE742"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31A7CE7" w14:textId="77777777" w:rsidR="004976DE" w:rsidRDefault="004976DE" w:rsidP="004976DE">
            <w:pPr>
              <w:jc w:val="center"/>
            </w:pPr>
          </w:p>
        </w:tc>
        <w:tc>
          <w:tcPr>
            <w:tcW w:w="3261" w:type="dxa"/>
          </w:tcPr>
          <w:p w14:paraId="1A36754C" w14:textId="77777777" w:rsidR="004976DE" w:rsidRPr="000E695A"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0E695A">
              <w:rPr>
                <w:bCs/>
              </w:rPr>
              <w:t>Table-top exercises (TTX), or discussions of a simulated emergency in a low-stress environment, should conducted, to test the NETP and other procedures for improvement.</w:t>
            </w:r>
          </w:p>
        </w:tc>
        <w:tc>
          <w:tcPr>
            <w:tcW w:w="1842" w:type="dxa"/>
            <w:vAlign w:val="center"/>
          </w:tcPr>
          <w:p w14:paraId="363EB41C"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MoCDE/NDMA</w:t>
            </w:r>
          </w:p>
        </w:tc>
        <w:tc>
          <w:tcPr>
            <w:tcW w:w="1843" w:type="dxa"/>
            <w:vAlign w:val="center"/>
          </w:tcPr>
          <w:p w14:paraId="1E90654C"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Annually</w:t>
            </w:r>
          </w:p>
        </w:tc>
      </w:tr>
      <w:tr w:rsidR="004976DE" w14:paraId="462E7C57"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D68FDC" w14:textId="77777777" w:rsidR="004976DE" w:rsidRPr="003D6FF1" w:rsidRDefault="004976DE" w:rsidP="004976DE">
            <w:pPr>
              <w:jc w:val="center"/>
              <w:rPr>
                <w:b w:val="0"/>
                <w:bCs w:val="0"/>
              </w:rPr>
            </w:pPr>
            <w:r w:rsidRPr="003D6FF1">
              <w:t>10</w:t>
            </w:r>
          </w:p>
        </w:tc>
        <w:tc>
          <w:tcPr>
            <w:tcW w:w="3261" w:type="dxa"/>
          </w:tcPr>
          <w:p w14:paraId="6559F6A9"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W</w:t>
            </w:r>
            <w:r w:rsidRPr="004A5CE4">
              <w:rPr>
                <w:bCs/>
              </w:rPr>
              <w:t>orking together with network operators and telecom/ICT service providers, develop mechanisms to guarantee that vital telecommunication technologies are inclusive</w:t>
            </w:r>
            <w:r>
              <w:rPr>
                <w:bCs/>
              </w:rPr>
              <w:t xml:space="preserve">, </w:t>
            </w:r>
            <w:r w:rsidRPr="004A5CE4">
              <w:rPr>
                <w:bCs/>
              </w:rPr>
              <w:t xml:space="preserve">accessible </w:t>
            </w:r>
            <w:r>
              <w:rPr>
                <w:bCs/>
              </w:rPr>
              <w:t>and</w:t>
            </w:r>
            <w:r w:rsidRPr="004A5CE4">
              <w:rPr>
                <w:bCs/>
              </w:rPr>
              <w:t xml:space="preserve"> linked to the early warning systems.</w:t>
            </w:r>
          </w:p>
        </w:tc>
        <w:tc>
          <w:tcPr>
            <w:tcW w:w="1842" w:type="dxa"/>
            <w:vAlign w:val="center"/>
          </w:tcPr>
          <w:p w14:paraId="4758A875"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NDMA/PURA</w:t>
            </w:r>
          </w:p>
        </w:tc>
        <w:tc>
          <w:tcPr>
            <w:tcW w:w="1843" w:type="dxa"/>
            <w:vAlign w:val="center"/>
          </w:tcPr>
          <w:p w14:paraId="2F435C08"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18 Months</w:t>
            </w:r>
          </w:p>
        </w:tc>
      </w:tr>
      <w:tr w:rsidR="004976DE" w14:paraId="1D347483"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06502DB" w14:textId="77777777" w:rsidR="004976DE" w:rsidRDefault="004976DE" w:rsidP="004976DE">
            <w:pPr>
              <w:jc w:val="center"/>
            </w:pPr>
          </w:p>
        </w:tc>
        <w:tc>
          <w:tcPr>
            <w:tcW w:w="3261" w:type="dxa"/>
          </w:tcPr>
          <w:p w14:paraId="3E2B3897" w14:textId="77777777" w:rsidR="004976DE" w:rsidRPr="004A5CE4"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4A5CE4">
              <w:rPr>
                <w:bCs/>
              </w:rPr>
              <w:t>Where possible, working in collaboration with network providers, these messages should be via geo-location capabilities to those at risk.</w:t>
            </w:r>
          </w:p>
        </w:tc>
        <w:tc>
          <w:tcPr>
            <w:tcW w:w="1842" w:type="dxa"/>
            <w:vAlign w:val="center"/>
          </w:tcPr>
          <w:p w14:paraId="1B26D911"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NDMA/PURA</w:t>
            </w:r>
          </w:p>
        </w:tc>
        <w:tc>
          <w:tcPr>
            <w:tcW w:w="1843" w:type="dxa"/>
            <w:vAlign w:val="center"/>
          </w:tcPr>
          <w:p w14:paraId="3C622BBB"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Months</w:t>
            </w:r>
          </w:p>
        </w:tc>
      </w:tr>
      <w:tr w:rsidR="004976DE" w14:paraId="2813B33E"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0667553" w14:textId="77777777" w:rsidR="004976DE" w:rsidRDefault="004976DE" w:rsidP="004976DE">
            <w:pPr>
              <w:jc w:val="center"/>
            </w:pPr>
          </w:p>
        </w:tc>
        <w:tc>
          <w:tcPr>
            <w:tcW w:w="3261" w:type="dxa"/>
          </w:tcPr>
          <w:p w14:paraId="75AF9950" w14:textId="77777777" w:rsidR="004976DE" w:rsidRPr="004A5CE4"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4A5CE4">
              <w:rPr>
                <w:bCs/>
              </w:rPr>
              <w:t>All warning messages should be issued in the most appropriate languages and sign language and/or captions and infographics should be used where appropriate for the medium.</w:t>
            </w:r>
          </w:p>
        </w:tc>
        <w:tc>
          <w:tcPr>
            <w:tcW w:w="1842" w:type="dxa"/>
            <w:vAlign w:val="center"/>
          </w:tcPr>
          <w:p w14:paraId="6C9979B0"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w:t>
            </w:r>
          </w:p>
        </w:tc>
        <w:tc>
          <w:tcPr>
            <w:tcW w:w="1843" w:type="dxa"/>
            <w:vAlign w:val="center"/>
          </w:tcPr>
          <w:p w14:paraId="56DE4541"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3B5A0FD9" w14:textId="77777777" w:rsidTr="004976DE">
        <w:tc>
          <w:tcPr>
            <w:cnfStyle w:val="001000000000" w:firstRow="0" w:lastRow="0" w:firstColumn="1" w:lastColumn="0" w:oddVBand="0" w:evenVBand="0" w:oddHBand="0" w:evenHBand="0" w:firstRowFirstColumn="0" w:firstRowLastColumn="0" w:lastRowFirstColumn="0" w:lastRowLastColumn="0"/>
            <w:tcW w:w="1696" w:type="dxa"/>
            <w:vAlign w:val="center"/>
          </w:tcPr>
          <w:p w14:paraId="16D02931" w14:textId="77777777" w:rsidR="004976DE" w:rsidRPr="003D6FF1" w:rsidRDefault="004976DE" w:rsidP="004976DE">
            <w:pPr>
              <w:jc w:val="center"/>
              <w:rPr>
                <w:b w:val="0"/>
                <w:bCs w:val="0"/>
              </w:rPr>
            </w:pPr>
            <w:r w:rsidRPr="003D6FF1">
              <w:t>11</w:t>
            </w:r>
          </w:p>
        </w:tc>
        <w:tc>
          <w:tcPr>
            <w:tcW w:w="3261" w:type="dxa"/>
          </w:tcPr>
          <w:p w14:paraId="4AC90435" w14:textId="77777777" w:rsidR="004976DE" w:rsidRPr="00BC2755"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82477E">
              <w:rPr>
                <w:bCs/>
              </w:rPr>
              <w:t xml:space="preserve">Telecom/ICT network and service providers must develop contingency plans for emergencies in line with an updated National Emergency Management Plan, and in conjunction with the authorities responsible for telecom/ICTs and for disaster risk management. </w:t>
            </w:r>
          </w:p>
        </w:tc>
        <w:tc>
          <w:tcPr>
            <w:tcW w:w="1842" w:type="dxa"/>
            <w:vAlign w:val="center"/>
          </w:tcPr>
          <w:p w14:paraId="1CB34311"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2420A68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Now</w:t>
            </w:r>
          </w:p>
          <w:p w14:paraId="13A1BAED"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3E8CD1D1"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Review annually</w:t>
            </w:r>
          </w:p>
        </w:tc>
      </w:tr>
      <w:tr w:rsidR="004976DE" w14:paraId="131AB9F4"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91ED845" w14:textId="77777777" w:rsidR="004976DE" w:rsidRPr="003D6FF1" w:rsidRDefault="004976DE" w:rsidP="004976DE">
            <w:pPr>
              <w:jc w:val="center"/>
              <w:rPr>
                <w:b w:val="0"/>
                <w:bCs w:val="0"/>
              </w:rPr>
            </w:pPr>
            <w:r w:rsidRPr="003D6FF1">
              <w:t>12</w:t>
            </w:r>
          </w:p>
        </w:tc>
        <w:tc>
          <w:tcPr>
            <w:tcW w:w="3261" w:type="dxa"/>
          </w:tcPr>
          <w:p w14:paraId="7F5B79C6"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E5270D">
              <w:rPr>
                <w:bCs/>
              </w:rPr>
              <w:t>Develop or update Standard Operating Procedures for emergency and disaster response related to communications within and between agencies and network operators including the technical means for communication (voice/data), and interoperability. This should include an exhaustive list of all actions that may be required for disaster response</w:t>
            </w:r>
          </w:p>
        </w:tc>
        <w:tc>
          <w:tcPr>
            <w:tcW w:w="1842" w:type="dxa"/>
            <w:vAlign w:val="center"/>
          </w:tcPr>
          <w:p w14:paraId="735B8F4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w:t>
            </w:r>
            <w:r w:rsidRPr="00E5270D">
              <w:t>/</w:t>
            </w:r>
            <w:r>
              <w:t>PURA</w:t>
            </w:r>
          </w:p>
        </w:tc>
        <w:tc>
          <w:tcPr>
            <w:tcW w:w="1843" w:type="dxa"/>
            <w:vAlign w:val="center"/>
          </w:tcPr>
          <w:p w14:paraId="1A9545E1"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Now</w:t>
            </w:r>
          </w:p>
          <w:p w14:paraId="6BA69889"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p>
          <w:p w14:paraId="7136AAC4"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Initial review to establish which SOPs are in place and which need to be written.</w:t>
            </w:r>
          </w:p>
          <w:p w14:paraId="594209BA"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p>
          <w:p w14:paraId="557C0D65"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Annual review and update once SOPs are written</w:t>
            </w:r>
          </w:p>
        </w:tc>
      </w:tr>
      <w:tr w:rsidR="004976DE" w14:paraId="44674F64"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35C8C74" w14:textId="77777777" w:rsidR="004976DE" w:rsidRPr="003D6FF1" w:rsidRDefault="004976DE" w:rsidP="004976DE">
            <w:pPr>
              <w:jc w:val="center"/>
              <w:rPr>
                <w:b w:val="0"/>
                <w:bCs w:val="0"/>
              </w:rPr>
            </w:pPr>
          </w:p>
        </w:tc>
        <w:tc>
          <w:tcPr>
            <w:tcW w:w="3261" w:type="dxa"/>
          </w:tcPr>
          <w:p w14:paraId="1084E435" w14:textId="77777777" w:rsidR="004976DE" w:rsidRPr="00BD6EC6"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BD6EC6">
              <w:rPr>
                <w:bCs/>
              </w:rPr>
              <w:t>Define the government entities and the contact points (key decision makers) within these entities that must maintain communication during a disaster or emergency.</w:t>
            </w:r>
          </w:p>
        </w:tc>
        <w:tc>
          <w:tcPr>
            <w:tcW w:w="1842" w:type="dxa"/>
            <w:vAlign w:val="center"/>
          </w:tcPr>
          <w:p w14:paraId="5533833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NDMA/PURA</w:t>
            </w:r>
          </w:p>
        </w:tc>
        <w:tc>
          <w:tcPr>
            <w:tcW w:w="1843" w:type="dxa"/>
            <w:vAlign w:val="center"/>
          </w:tcPr>
          <w:p w14:paraId="343DDD80"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Ongoing</w:t>
            </w:r>
          </w:p>
        </w:tc>
      </w:tr>
      <w:tr w:rsidR="004976DE" w14:paraId="167D71FC"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A5D8BA4" w14:textId="77777777" w:rsidR="004976DE" w:rsidRDefault="004976DE" w:rsidP="004976DE">
            <w:pPr>
              <w:jc w:val="center"/>
            </w:pPr>
          </w:p>
        </w:tc>
        <w:tc>
          <w:tcPr>
            <w:tcW w:w="3261" w:type="dxa"/>
          </w:tcPr>
          <w:p w14:paraId="01C2E408" w14:textId="77777777" w:rsidR="004976DE" w:rsidRPr="00BD6EC6"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BD6EC6">
              <w:rPr>
                <w:bCs/>
              </w:rPr>
              <w:t>Maintain an updated database with these focal points of every agency, and where appropriate any associated partner organisations, countries, or other external entities, involved in disaster management.</w:t>
            </w:r>
          </w:p>
        </w:tc>
        <w:tc>
          <w:tcPr>
            <w:tcW w:w="1842" w:type="dxa"/>
            <w:vAlign w:val="center"/>
          </w:tcPr>
          <w:p w14:paraId="2CB2A507"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NDMA/PURA</w:t>
            </w:r>
          </w:p>
        </w:tc>
        <w:tc>
          <w:tcPr>
            <w:tcW w:w="1843" w:type="dxa"/>
            <w:vAlign w:val="center"/>
          </w:tcPr>
          <w:p w14:paraId="5C71D822"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Ongoing</w:t>
            </w:r>
          </w:p>
        </w:tc>
      </w:tr>
      <w:tr w:rsidR="004976DE" w14:paraId="514C6EB6"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58A9E05" w14:textId="77777777" w:rsidR="004976DE" w:rsidRDefault="004976DE" w:rsidP="004976DE">
            <w:pPr>
              <w:jc w:val="center"/>
            </w:pPr>
          </w:p>
        </w:tc>
        <w:tc>
          <w:tcPr>
            <w:tcW w:w="3261" w:type="dxa"/>
          </w:tcPr>
          <w:p w14:paraId="11DD1EFB" w14:textId="77777777" w:rsidR="004976DE" w:rsidRPr="00BD6EC6"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BD6EC6">
              <w:rPr>
                <w:bCs/>
              </w:rPr>
              <w:t>Analyse the possible interoperability between the equipment (wireless) and the communication networks of the government entities.</w:t>
            </w:r>
          </w:p>
        </w:tc>
        <w:tc>
          <w:tcPr>
            <w:tcW w:w="1842" w:type="dxa"/>
            <w:vAlign w:val="center"/>
          </w:tcPr>
          <w:p w14:paraId="6AFA2BA5"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1A693614"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Ongoing</w:t>
            </w:r>
          </w:p>
        </w:tc>
      </w:tr>
      <w:tr w:rsidR="004976DE" w14:paraId="5981315E"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C4026F6" w14:textId="77777777" w:rsidR="004976DE" w:rsidRDefault="004976DE" w:rsidP="004976DE">
            <w:pPr>
              <w:jc w:val="center"/>
            </w:pPr>
          </w:p>
        </w:tc>
        <w:tc>
          <w:tcPr>
            <w:tcW w:w="3261" w:type="dxa"/>
          </w:tcPr>
          <w:p w14:paraId="4423AC52" w14:textId="77777777" w:rsidR="004976DE" w:rsidRPr="00BD6EC6"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BD6EC6">
              <w:rPr>
                <w:bCs/>
              </w:rPr>
              <w:t>Establish a set of radio frequencies that can be used for the communications of the contact points (key decision makers) compatible with the radiocommunication equipment being used and ensure it is aligned for regional compatibility.</w:t>
            </w:r>
          </w:p>
        </w:tc>
        <w:tc>
          <w:tcPr>
            <w:tcW w:w="1842" w:type="dxa"/>
            <w:vAlign w:val="center"/>
          </w:tcPr>
          <w:p w14:paraId="2796907F"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56320F48"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73AF8225"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C4FD8C9" w14:textId="77777777" w:rsidR="004976DE" w:rsidRDefault="004976DE" w:rsidP="004976DE">
            <w:pPr>
              <w:jc w:val="center"/>
            </w:pPr>
          </w:p>
        </w:tc>
        <w:tc>
          <w:tcPr>
            <w:tcW w:w="3261" w:type="dxa"/>
          </w:tcPr>
          <w:p w14:paraId="2E3C779A" w14:textId="77777777" w:rsidR="004976DE" w:rsidRPr="00BD6EC6"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BD6EC6">
              <w:rPr>
                <w:bCs/>
              </w:rPr>
              <w:t>Establish alternative methods of communications, if necessary, for example through existing communication operators.</w:t>
            </w:r>
          </w:p>
        </w:tc>
        <w:tc>
          <w:tcPr>
            <w:tcW w:w="1842" w:type="dxa"/>
            <w:vAlign w:val="center"/>
          </w:tcPr>
          <w:p w14:paraId="60C52DF4"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0780CFC6"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Months</w:t>
            </w:r>
          </w:p>
        </w:tc>
      </w:tr>
      <w:tr w:rsidR="004976DE" w14:paraId="75B878CA"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F20AD85" w14:textId="77777777" w:rsidR="004976DE" w:rsidRDefault="004976DE" w:rsidP="004976DE">
            <w:pPr>
              <w:jc w:val="center"/>
            </w:pPr>
          </w:p>
        </w:tc>
        <w:tc>
          <w:tcPr>
            <w:tcW w:w="3261" w:type="dxa"/>
          </w:tcPr>
          <w:p w14:paraId="13AD8656" w14:textId="77777777" w:rsidR="004976DE" w:rsidRPr="00BD6EC6"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BD6EC6">
              <w:rPr>
                <w:bCs/>
              </w:rPr>
              <w:t xml:space="preserve">Develop connectivity plans for </w:t>
            </w:r>
            <w:r>
              <w:rPr>
                <w:bCs/>
              </w:rPr>
              <w:t>any</w:t>
            </w:r>
            <w:r w:rsidRPr="00BD6EC6">
              <w:rPr>
                <w:bCs/>
              </w:rPr>
              <w:t xml:space="preserve"> satellite equipment to be used as well as procedures for their use as primary or alternative communications between relevant stakeholders involved in disaster response.</w:t>
            </w:r>
          </w:p>
        </w:tc>
        <w:tc>
          <w:tcPr>
            <w:tcW w:w="1842" w:type="dxa"/>
            <w:vAlign w:val="center"/>
          </w:tcPr>
          <w:p w14:paraId="03073B81"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4782886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12 Months</w:t>
            </w:r>
          </w:p>
        </w:tc>
      </w:tr>
      <w:tr w:rsidR="004976DE" w14:paraId="0E17C93E"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40FEE142" w14:textId="77777777" w:rsidR="004976DE" w:rsidRPr="000C3BFC" w:rsidRDefault="004976DE" w:rsidP="004976DE">
            <w:pPr>
              <w:jc w:val="center"/>
              <w:rPr>
                <w:b w:val="0"/>
                <w:bCs w:val="0"/>
              </w:rPr>
            </w:pPr>
            <w:r w:rsidRPr="000C3BFC">
              <w:t>13</w:t>
            </w:r>
          </w:p>
        </w:tc>
        <w:tc>
          <w:tcPr>
            <w:tcW w:w="3261" w:type="dxa"/>
          </w:tcPr>
          <w:p w14:paraId="0D146ED5" w14:textId="77777777" w:rsidR="004976DE" w:rsidRPr="00BC2755"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68367D">
              <w:rPr>
                <w:bCs/>
              </w:rPr>
              <w:t xml:space="preserve">Consider planning for the development of </w:t>
            </w:r>
            <w:r>
              <w:rPr>
                <w:bCs/>
              </w:rPr>
              <w:t>an E</w:t>
            </w:r>
            <w:r w:rsidRPr="0068367D">
              <w:rPr>
                <w:bCs/>
              </w:rPr>
              <w:t xml:space="preserve">mergency </w:t>
            </w:r>
            <w:r>
              <w:rPr>
                <w:bCs/>
              </w:rPr>
              <w:t>O</w:t>
            </w:r>
            <w:r w:rsidRPr="0068367D">
              <w:rPr>
                <w:bCs/>
              </w:rPr>
              <w:t xml:space="preserve">perations </w:t>
            </w:r>
            <w:r>
              <w:rPr>
                <w:bCs/>
              </w:rPr>
              <w:t>C</w:t>
            </w:r>
            <w:r w:rsidRPr="0068367D">
              <w:rPr>
                <w:bCs/>
              </w:rPr>
              <w:t xml:space="preserve">entre or </w:t>
            </w:r>
            <w:r>
              <w:rPr>
                <w:bCs/>
              </w:rPr>
              <w:t>C</w:t>
            </w:r>
            <w:r w:rsidRPr="0068367D">
              <w:rPr>
                <w:bCs/>
              </w:rPr>
              <w:t xml:space="preserve">ommunication and </w:t>
            </w:r>
            <w:r>
              <w:rPr>
                <w:bCs/>
              </w:rPr>
              <w:t>C</w:t>
            </w:r>
            <w:r w:rsidRPr="0068367D">
              <w:rPr>
                <w:bCs/>
              </w:rPr>
              <w:t xml:space="preserve">oordination </w:t>
            </w:r>
            <w:r>
              <w:rPr>
                <w:bCs/>
              </w:rPr>
              <w:t>C</w:t>
            </w:r>
            <w:r w:rsidRPr="0068367D">
              <w:rPr>
                <w:bCs/>
              </w:rPr>
              <w:t xml:space="preserve">ommand </w:t>
            </w:r>
            <w:r>
              <w:rPr>
                <w:bCs/>
              </w:rPr>
              <w:t>P</w:t>
            </w:r>
            <w:r w:rsidRPr="0068367D">
              <w:rPr>
                <w:bCs/>
              </w:rPr>
              <w:t xml:space="preserve">osts to provide critical communications to users in each organisation involved during the response phase of a disaster. </w:t>
            </w:r>
          </w:p>
        </w:tc>
        <w:tc>
          <w:tcPr>
            <w:tcW w:w="1842" w:type="dxa"/>
            <w:vAlign w:val="center"/>
          </w:tcPr>
          <w:p w14:paraId="63EC8A4A"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NDMA/MoCDE/PURA</w:t>
            </w:r>
          </w:p>
        </w:tc>
        <w:tc>
          <w:tcPr>
            <w:tcW w:w="1843" w:type="dxa"/>
            <w:vAlign w:val="center"/>
          </w:tcPr>
          <w:p w14:paraId="0482197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12 Months</w:t>
            </w:r>
          </w:p>
        </w:tc>
      </w:tr>
      <w:tr w:rsidR="004976DE" w14:paraId="3725BA37"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1900F4A" w14:textId="77777777" w:rsidR="004976DE" w:rsidRDefault="004976DE" w:rsidP="004976DE">
            <w:pPr>
              <w:jc w:val="center"/>
            </w:pPr>
          </w:p>
        </w:tc>
        <w:tc>
          <w:tcPr>
            <w:tcW w:w="3261" w:type="dxa"/>
          </w:tcPr>
          <w:p w14:paraId="4EA75376" w14:textId="77777777" w:rsidR="004976DE" w:rsidRPr="0068367D" w:rsidRDefault="004976DE" w:rsidP="00A04029">
            <w:pPr>
              <w:cnfStyle w:val="000000100000" w:firstRow="0" w:lastRow="0" w:firstColumn="0" w:lastColumn="0" w:oddVBand="0" w:evenVBand="0" w:oddHBand="1" w:evenHBand="0" w:firstRowFirstColumn="0" w:firstRowLastColumn="0" w:lastRowFirstColumn="0" w:lastRowLastColumn="0"/>
              <w:rPr>
                <w:bCs/>
              </w:rPr>
            </w:pPr>
            <w:r>
              <w:rPr>
                <w:bCs/>
              </w:rPr>
              <w:t xml:space="preserve">Consider the network </w:t>
            </w:r>
            <w:r w:rsidRPr="0068367D">
              <w:rPr>
                <w:bCs/>
              </w:rPr>
              <w:t xml:space="preserve">connectivity </w:t>
            </w:r>
            <w:r>
              <w:rPr>
                <w:bCs/>
              </w:rPr>
              <w:t xml:space="preserve">with </w:t>
            </w:r>
            <w:r w:rsidRPr="0068367D">
              <w:rPr>
                <w:bCs/>
              </w:rPr>
              <w:t>Shelters to ensure it is reliable, stable, and able to cope with expected demands.</w:t>
            </w:r>
          </w:p>
        </w:tc>
        <w:tc>
          <w:tcPr>
            <w:tcW w:w="1842" w:type="dxa"/>
            <w:vAlign w:val="center"/>
          </w:tcPr>
          <w:p w14:paraId="0439BDF2"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NDMA/PURA</w:t>
            </w:r>
          </w:p>
        </w:tc>
        <w:tc>
          <w:tcPr>
            <w:tcW w:w="1843" w:type="dxa"/>
            <w:vAlign w:val="center"/>
          </w:tcPr>
          <w:p w14:paraId="3638ABDB"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18 Months</w:t>
            </w:r>
          </w:p>
        </w:tc>
      </w:tr>
      <w:tr w:rsidR="004976DE" w14:paraId="7F2C31CA"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D6598A9" w14:textId="77777777" w:rsidR="004976DE" w:rsidRDefault="004976DE" w:rsidP="004976DE">
            <w:pPr>
              <w:jc w:val="center"/>
            </w:pPr>
          </w:p>
        </w:tc>
        <w:tc>
          <w:tcPr>
            <w:tcW w:w="3261" w:type="dxa"/>
          </w:tcPr>
          <w:p w14:paraId="7D9E6C93" w14:textId="77777777" w:rsidR="004976DE" w:rsidRPr="0068367D"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68367D">
              <w:rPr>
                <w:bCs/>
              </w:rPr>
              <w:t>Develop Standard Operating Procedures (SOPs) for all emergency operations centres (EOCs) that include the coordination and communication procedures and roles for every stakeholder involved in the process, such as public and private persons and agencies, and international humanitarian actors, among others.</w:t>
            </w:r>
          </w:p>
        </w:tc>
        <w:tc>
          <w:tcPr>
            <w:tcW w:w="1842" w:type="dxa"/>
            <w:vAlign w:val="center"/>
          </w:tcPr>
          <w:p w14:paraId="41B833CC"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NDMA</w:t>
            </w:r>
          </w:p>
        </w:tc>
        <w:tc>
          <w:tcPr>
            <w:tcW w:w="1843" w:type="dxa"/>
            <w:vAlign w:val="center"/>
          </w:tcPr>
          <w:p w14:paraId="52A7DE44"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Now</w:t>
            </w:r>
          </w:p>
          <w:p w14:paraId="0D06C9A6"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58728AD8"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Initial review to establish which SOPs are in place and which need to be written.</w:t>
            </w:r>
          </w:p>
          <w:p w14:paraId="3D455A62"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p>
          <w:p w14:paraId="28A93A3E"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Annual review and update once SOPs are written</w:t>
            </w:r>
          </w:p>
        </w:tc>
      </w:tr>
      <w:tr w:rsidR="004976DE" w14:paraId="645AF403"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5D7F0758" w14:textId="77777777" w:rsidR="004976DE" w:rsidRPr="00070F83" w:rsidRDefault="004976DE" w:rsidP="004976DE">
            <w:pPr>
              <w:jc w:val="center"/>
              <w:rPr>
                <w:b w:val="0"/>
                <w:bCs w:val="0"/>
              </w:rPr>
            </w:pPr>
            <w:r w:rsidRPr="00070F83">
              <w:t>14</w:t>
            </w:r>
          </w:p>
        </w:tc>
        <w:tc>
          <w:tcPr>
            <w:tcW w:w="3261" w:type="dxa"/>
          </w:tcPr>
          <w:p w14:paraId="6D49A9A3"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9B26D4">
              <w:rPr>
                <w:bCs/>
              </w:rPr>
              <w:t>Investigate how call centres, potentially located in the EOC or shelters, can be established during the response phase to warn the affected population of new risks, to disseminate updates about the emerge and to connect affected populations with their relatives</w:t>
            </w:r>
            <w:r>
              <w:rPr>
                <w:bCs/>
              </w:rPr>
              <w:t>.</w:t>
            </w:r>
          </w:p>
        </w:tc>
        <w:tc>
          <w:tcPr>
            <w:tcW w:w="1842" w:type="dxa"/>
            <w:vAlign w:val="center"/>
          </w:tcPr>
          <w:p w14:paraId="3DFDB6EB"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NDMA/PURA/MoCDE</w:t>
            </w:r>
          </w:p>
        </w:tc>
        <w:tc>
          <w:tcPr>
            <w:tcW w:w="1843" w:type="dxa"/>
            <w:vAlign w:val="center"/>
          </w:tcPr>
          <w:p w14:paraId="495F3401"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18 Months</w:t>
            </w:r>
          </w:p>
        </w:tc>
      </w:tr>
      <w:tr w:rsidR="004976DE" w14:paraId="00B88E69"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04FF547" w14:textId="77777777" w:rsidR="004976DE" w:rsidRPr="00070F83" w:rsidRDefault="004976DE" w:rsidP="004976DE">
            <w:pPr>
              <w:jc w:val="center"/>
              <w:rPr>
                <w:b w:val="0"/>
                <w:bCs w:val="0"/>
              </w:rPr>
            </w:pPr>
          </w:p>
        </w:tc>
        <w:tc>
          <w:tcPr>
            <w:tcW w:w="3261" w:type="dxa"/>
          </w:tcPr>
          <w:p w14:paraId="668164A1" w14:textId="77777777" w:rsidR="004976DE" w:rsidRPr="009B26D4"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S</w:t>
            </w:r>
            <w:r w:rsidRPr="009B26D4">
              <w:rPr>
                <w:bCs/>
              </w:rPr>
              <w:t xml:space="preserve">eek collaboration with telecom/ICT operators or international organisations to </w:t>
            </w:r>
            <w:r>
              <w:rPr>
                <w:bCs/>
              </w:rPr>
              <w:t xml:space="preserve">help </w:t>
            </w:r>
            <w:r w:rsidRPr="009B26D4">
              <w:rPr>
                <w:bCs/>
              </w:rPr>
              <w:t>establish the required telecom/ICT infrastructure, or use satellite networks, that can be easily installed.</w:t>
            </w:r>
          </w:p>
        </w:tc>
        <w:tc>
          <w:tcPr>
            <w:tcW w:w="1842" w:type="dxa"/>
            <w:vAlign w:val="center"/>
          </w:tcPr>
          <w:p w14:paraId="0CFE6B67"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PURA/MoCDE</w:t>
            </w:r>
          </w:p>
        </w:tc>
        <w:tc>
          <w:tcPr>
            <w:tcW w:w="1843" w:type="dxa"/>
            <w:vAlign w:val="center"/>
          </w:tcPr>
          <w:p w14:paraId="176B0C03"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18 Months</w:t>
            </w:r>
          </w:p>
        </w:tc>
      </w:tr>
      <w:tr w:rsidR="004976DE" w14:paraId="66F66998"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33BF1EA" w14:textId="77777777" w:rsidR="004976DE" w:rsidRPr="00070F83" w:rsidRDefault="004976DE" w:rsidP="004976DE">
            <w:pPr>
              <w:jc w:val="center"/>
              <w:rPr>
                <w:b w:val="0"/>
                <w:bCs w:val="0"/>
              </w:rPr>
            </w:pPr>
            <w:r w:rsidRPr="00070F83">
              <w:t>15</w:t>
            </w:r>
          </w:p>
        </w:tc>
        <w:tc>
          <w:tcPr>
            <w:tcW w:w="3261" w:type="dxa"/>
          </w:tcPr>
          <w:p w14:paraId="6DBC7872" w14:textId="77777777" w:rsidR="004976DE" w:rsidRPr="00342AA2"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342AA2">
              <w:rPr>
                <w:bCs/>
              </w:rPr>
              <w:t>Restoration and reconstruction of the telecom/ICT infrastructure should be based on lessons learned and on the principle of building back better. These activities should involve the active participation of the private sector service providers.</w:t>
            </w:r>
          </w:p>
          <w:p w14:paraId="72659BEE" w14:textId="77777777" w:rsidR="004976DE" w:rsidRPr="00BC2755"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342AA2">
              <w:rPr>
                <w:bCs/>
              </w:rPr>
              <w:t>Assessment, reconstruction, and improvement of telecom/ICT infrastructure can be supported on the Post Disaster Needs Assessment framework.</w:t>
            </w:r>
          </w:p>
        </w:tc>
        <w:tc>
          <w:tcPr>
            <w:tcW w:w="1842" w:type="dxa"/>
            <w:vAlign w:val="center"/>
          </w:tcPr>
          <w:p w14:paraId="3F1BF6AB"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2ED2C5AE"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As required</w:t>
            </w:r>
          </w:p>
        </w:tc>
      </w:tr>
      <w:tr w:rsidR="004976DE" w14:paraId="78E8D994"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163DCDB4" w14:textId="77777777" w:rsidR="004976DE" w:rsidRPr="00402523" w:rsidRDefault="004976DE" w:rsidP="004976DE">
            <w:pPr>
              <w:jc w:val="center"/>
              <w:rPr>
                <w:b w:val="0"/>
                <w:bCs w:val="0"/>
              </w:rPr>
            </w:pPr>
            <w:r w:rsidRPr="00402523">
              <w:t>16</w:t>
            </w:r>
          </w:p>
        </w:tc>
        <w:tc>
          <w:tcPr>
            <w:tcW w:w="3261" w:type="dxa"/>
          </w:tcPr>
          <w:p w14:paraId="5C0931EE" w14:textId="77777777" w:rsidR="004976DE" w:rsidRPr="00BC2755" w:rsidRDefault="004976DE" w:rsidP="00A04029">
            <w:pPr>
              <w:cnfStyle w:val="000000000000" w:firstRow="0" w:lastRow="0" w:firstColumn="0" w:lastColumn="0" w:oddVBand="0" w:evenVBand="0" w:oddHBand="0" w:evenHBand="0" w:firstRowFirstColumn="0" w:firstRowLastColumn="0" w:lastRowFirstColumn="0" w:lastRowLastColumn="0"/>
              <w:rPr>
                <w:bCs/>
              </w:rPr>
            </w:pPr>
            <w:r w:rsidRPr="00336B39">
              <w:rPr>
                <w:bCs/>
              </w:rPr>
              <w:t xml:space="preserve">After the response and recovery phases and based on the experience acquired during the disaster management or during any drills and exercises conducted, a report should be developed identifying lessons learned and including the necessary modifications and improvements that should be made to the NETP. </w:t>
            </w:r>
          </w:p>
        </w:tc>
        <w:tc>
          <w:tcPr>
            <w:tcW w:w="1842" w:type="dxa"/>
            <w:vAlign w:val="center"/>
          </w:tcPr>
          <w:p w14:paraId="67CD527F"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4AE2C693"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As required</w:t>
            </w:r>
          </w:p>
        </w:tc>
      </w:tr>
      <w:tr w:rsidR="004976DE" w14:paraId="665F2A3B" w14:textId="77777777" w:rsidTr="00497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7EFFD5A" w14:textId="77777777" w:rsidR="004976DE" w:rsidRDefault="004976DE" w:rsidP="00A04029">
            <w:pPr>
              <w:jc w:val="center"/>
            </w:pPr>
          </w:p>
        </w:tc>
        <w:tc>
          <w:tcPr>
            <w:tcW w:w="3261" w:type="dxa"/>
          </w:tcPr>
          <w:p w14:paraId="6CD71F76" w14:textId="77777777" w:rsidR="004976DE" w:rsidRPr="00336B39" w:rsidRDefault="004976DE" w:rsidP="00A04029">
            <w:pPr>
              <w:cnfStyle w:val="000000100000" w:firstRow="0" w:lastRow="0" w:firstColumn="0" w:lastColumn="0" w:oddVBand="0" w:evenVBand="0" w:oddHBand="1" w:evenHBand="0" w:firstRowFirstColumn="0" w:firstRowLastColumn="0" w:lastRowFirstColumn="0" w:lastRowLastColumn="0"/>
              <w:rPr>
                <w:bCs/>
              </w:rPr>
            </w:pPr>
            <w:r w:rsidRPr="00336B39">
              <w:rPr>
                <w:bCs/>
              </w:rPr>
              <w:t>The NETP should be reviewed every year and updated where necessary.</w:t>
            </w:r>
          </w:p>
        </w:tc>
        <w:tc>
          <w:tcPr>
            <w:tcW w:w="1842" w:type="dxa"/>
            <w:vAlign w:val="center"/>
          </w:tcPr>
          <w:p w14:paraId="13DEF3CC"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PURA</w:t>
            </w:r>
          </w:p>
        </w:tc>
        <w:tc>
          <w:tcPr>
            <w:tcW w:w="1843" w:type="dxa"/>
            <w:vAlign w:val="center"/>
          </w:tcPr>
          <w:p w14:paraId="6B3B8B62" w14:textId="77777777" w:rsidR="004976DE" w:rsidRDefault="004976DE" w:rsidP="004976DE">
            <w:pPr>
              <w:jc w:val="center"/>
              <w:cnfStyle w:val="000000100000" w:firstRow="0" w:lastRow="0" w:firstColumn="0" w:lastColumn="0" w:oddVBand="0" w:evenVBand="0" w:oddHBand="1" w:evenHBand="0" w:firstRowFirstColumn="0" w:firstRowLastColumn="0" w:lastRowFirstColumn="0" w:lastRowLastColumn="0"/>
            </w:pPr>
            <w:r>
              <w:t>Annually</w:t>
            </w:r>
          </w:p>
        </w:tc>
      </w:tr>
      <w:tr w:rsidR="004976DE" w14:paraId="514E22F2" w14:textId="77777777" w:rsidTr="004976DE">
        <w:tc>
          <w:tcPr>
            <w:cnfStyle w:val="001000000000" w:firstRow="0" w:lastRow="0" w:firstColumn="1" w:lastColumn="0" w:oddVBand="0" w:evenVBand="0" w:oddHBand="0" w:evenHBand="0" w:firstRowFirstColumn="0" w:firstRowLastColumn="0" w:lastRowFirstColumn="0" w:lastRowLastColumn="0"/>
            <w:tcW w:w="1696" w:type="dxa"/>
            <w:vMerge/>
          </w:tcPr>
          <w:p w14:paraId="6BE40E8B" w14:textId="77777777" w:rsidR="004976DE" w:rsidRDefault="004976DE" w:rsidP="00A04029">
            <w:pPr>
              <w:jc w:val="center"/>
            </w:pPr>
          </w:p>
        </w:tc>
        <w:tc>
          <w:tcPr>
            <w:tcW w:w="3261" w:type="dxa"/>
          </w:tcPr>
          <w:p w14:paraId="270EE707" w14:textId="77777777" w:rsidR="004976DE" w:rsidRPr="00336B39" w:rsidRDefault="004976DE" w:rsidP="00A04029">
            <w:pPr>
              <w:cnfStyle w:val="000000000000" w:firstRow="0" w:lastRow="0" w:firstColumn="0" w:lastColumn="0" w:oddVBand="0" w:evenVBand="0" w:oddHBand="0" w:evenHBand="0" w:firstRowFirstColumn="0" w:firstRowLastColumn="0" w:lastRowFirstColumn="0" w:lastRowLastColumn="0"/>
              <w:rPr>
                <w:bCs/>
              </w:rPr>
            </w:pPr>
            <w:r>
              <w:rPr>
                <w:bCs/>
              </w:rPr>
              <w:t>PURA</w:t>
            </w:r>
            <w:r w:rsidRPr="00336B39">
              <w:rPr>
                <w:bCs/>
              </w:rPr>
              <w:t xml:space="preserve"> should review and provide feedback to the ITU on any progress, changes or NETP action items that have been implemented by an agreed timeframe (for example, six or nine months) after the validation of the NETP.</w:t>
            </w:r>
          </w:p>
        </w:tc>
        <w:tc>
          <w:tcPr>
            <w:tcW w:w="1842" w:type="dxa"/>
            <w:vAlign w:val="center"/>
          </w:tcPr>
          <w:p w14:paraId="01C1CD31"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PURA</w:t>
            </w:r>
          </w:p>
        </w:tc>
        <w:tc>
          <w:tcPr>
            <w:tcW w:w="1843" w:type="dxa"/>
            <w:vAlign w:val="center"/>
          </w:tcPr>
          <w:p w14:paraId="02E97585" w14:textId="77777777" w:rsidR="004976DE" w:rsidRDefault="004976DE" w:rsidP="004976DE">
            <w:pPr>
              <w:jc w:val="center"/>
              <w:cnfStyle w:val="000000000000" w:firstRow="0" w:lastRow="0" w:firstColumn="0" w:lastColumn="0" w:oddVBand="0" w:evenVBand="0" w:oddHBand="0" w:evenHBand="0" w:firstRowFirstColumn="0" w:firstRowLastColumn="0" w:lastRowFirstColumn="0" w:lastRowLastColumn="0"/>
            </w:pPr>
            <w:r>
              <w:t>As required</w:t>
            </w:r>
          </w:p>
        </w:tc>
      </w:tr>
    </w:tbl>
    <w:p w14:paraId="0BB4B288" w14:textId="57C3F3D7" w:rsidR="00656A2B" w:rsidRPr="00DE1BD4" w:rsidRDefault="000B0196">
      <w:pPr>
        <w:jc w:val="left"/>
      </w:pPr>
      <w:r w:rsidRPr="00DE1BD4">
        <w:br w:type="page"/>
      </w:r>
    </w:p>
    <w:p w14:paraId="45EA3E41" w14:textId="5E6D33A8" w:rsidR="00AB1F8A" w:rsidRPr="00DE1BD4" w:rsidRDefault="00AB1F8A" w:rsidP="007B2958">
      <w:pPr>
        <w:pStyle w:val="Heading1"/>
        <w:numPr>
          <w:ilvl w:val="0"/>
          <w:numId w:val="15"/>
        </w:numPr>
      </w:pPr>
      <w:bookmarkStart w:id="28" w:name="_tyjcwt"/>
      <w:bookmarkStart w:id="29" w:name="_Toc90825794"/>
      <w:bookmarkStart w:id="30" w:name="_Toc90825939"/>
      <w:bookmarkStart w:id="31" w:name="_Toc91172590"/>
      <w:bookmarkStart w:id="32" w:name="_Toc91185477"/>
      <w:bookmarkStart w:id="33" w:name="_Toc181885763"/>
      <w:bookmarkEnd w:id="28"/>
      <w:r w:rsidRPr="00DE1BD4">
        <w:t xml:space="preserve">Description of the </w:t>
      </w:r>
      <w:r w:rsidR="00FB0381" w:rsidRPr="00DE1BD4">
        <w:t>F</w:t>
      </w:r>
      <w:r w:rsidRPr="00DE1BD4">
        <w:t xml:space="preserve">our </w:t>
      </w:r>
      <w:r w:rsidR="00FB0381" w:rsidRPr="00DE1BD4">
        <w:t>P</w:t>
      </w:r>
      <w:r w:rsidRPr="00DE1BD4">
        <w:t xml:space="preserve">hases of </w:t>
      </w:r>
      <w:r w:rsidR="00FB0381" w:rsidRPr="00DE1BD4">
        <w:t>D</w:t>
      </w:r>
      <w:r w:rsidRPr="00DE1BD4">
        <w:t xml:space="preserve">isaster </w:t>
      </w:r>
      <w:r w:rsidR="00FB0381" w:rsidRPr="00DE1BD4">
        <w:t>M</w:t>
      </w:r>
      <w:r w:rsidRPr="00DE1BD4">
        <w:t>anagement</w:t>
      </w:r>
      <w:bookmarkEnd w:id="29"/>
      <w:bookmarkEnd w:id="30"/>
      <w:bookmarkEnd w:id="31"/>
      <w:bookmarkEnd w:id="32"/>
      <w:r w:rsidR="00C12012" w:rsidRPr="0045782B">
        <w:rPr>
          <w:rStyle w:val="FootnoteReference"/>
        </w:rPr>
        <w:footnoteReference w:id="3"/>
      </w:r>
      <w:bookmarkEnd w:id="33"/>
    </w:p>
    <w:p w14:paraId="46632FBC" w14:textId="53F765BD" w:rsidR="00AB1F8A" w:rsidRPr="00DE1BD4" w:rsidRDefault="00AB1F8A" w:rsidP="00AB1F8A">
      <w:r w:rsidRPr="00DE1BD4">
        <w:t xml:space="preserve">Disaster management </w:t>
      </w:r>
      <w:r w:rsidR="00696A32" w:rsidRPr="00DE1BD4">
        <w:t>falls into two categories</w:t>
      </w:r>
      <w:r w:rsidRPr="00DE1BD4">
        <w:t>: risk management and crisis management. In the first</w:t>
      </w:r>
      <w:r w:rsidR="00864F5A" w:rsidRPr="00DE1BD4">
        <w:t xml:space="preserve"> category</w:t>
      </w:r>
      <w:r w:rsidRPr="00DE1BD4">
        <w:t xml:space="preserve">, measures are taken to </w:t>
      </w:r>
      <w:r w:rsidR="00864F5A" w:rsidRPr="00DE1BD4">
        <w:t xml:space="preserve">monitor, </w:t>
      </w:r>
      <w:r w:rsidRPr="00DE1BD4">
        <w:t xml:space="preserve">predict and warn </w:t>
      </w:r>
      <w:r w:rsidR="00696A32" w:rsidRPr="00DE1BD4">
        <w:t xml:space="preserve">of </w:t>
      </w:r>
      <w:r w:rsidRPr="00DE1BD4">
        <w:t>a</w:t>
      </w:r>
      <w:r w:rsidR="00864F5A" w:rsidRPr="00DE1BD4">
        <w:t xml:space="preserve">ny hazard in advance so they do not lead to disasters, </w:t>
      </w:r>
      <w:r w:rsidRPr="00DE1BD4">
        <w:t xml:space="preserve">as well as to prevent and/or mitigate its damage. These efforts occur under normal or non-emergency </w:t>
      </w:r>
      <w:r w:rsidR="00AD76A8" w:rsidRPr="00DE1BD4">
        <w:t>circumstances and</w:t>
      </w:r>
      <w:r w:rsidRPr="00DE1BD4">
        <w:t xml:space="preserve"> correspond to the mitigation and </w:t>
      </w:r>
      <w:r w:rsidR="00864F5A" w:rsidRPr="00DE1BD4">
        <w:t xml:space="preserve">preparedness </w:t>
      </w:r>
      <w:r w:rsidRPr="00DE1BD4">
        <w:t xml:space="preserve">phases. </w:t>
      </w:r>
      <w:r w:rsidR="00864F5A" w:rsidRPr="00DE1BD4">
        <w:t>The second category</w:t>
      </w:r>
      <w:r w:rsidRPr="00DE1BD4">
        <w:t>, crisis management</w:t>
      </w:r>
      <w:r w:rsidR="00864F5A" w:rsidRPr="00DE1BD4">
        <w:t>,</w:t>
      </w:r>
      <w:r w:rsidRPr="00DE1BD4">
        <w:t xml:space="preserve"> takes place during emergencies, and includes actions such as</w:t>
      </w:r>
      <w:r w:rsidR="00864F5A" w:rsidRPr="00DE1BD4">
        <w:t>, search and rescue, response coordination,</w:t>
      </w:r>
      <w:r w:rsidRPr="00DE1BD4">
        <w:t xml:space="preserve"> damage assessment, </w:t>
      </w:r>
      <w:r w:rsidR="00415FF1" w:rsidRPr="00DE1BD4">
        <w:t>the activation of a p</w:t>
      </w:r>
      <w:r w:rsidRPr="00DE1BD4">
        <w:t>olicy</w:t>
      </w:r>
      <w:r w:rsidR="00415FF1" w:rsidRPr="00DE1BD4">
        <w:t xml:space="preserve"> response</w:t>
      </w:r>
      <w:r w:rsidRPr="00DE1BD4">
        <w:t xml:space="preserve">, </w:t>
      </w:r>
      <w:r w:rsidR="00E63637" w:rsidRPr="00DE1BD4">
        <w:t>and</w:t>
      </w:r>
      <w:r w:rsidRPr="00DE1BD4">
        <w:t xml:space="preserve"> the </w:t>
      </w:r>
      <w:r w:rsidR="00F666C9" w:rsidRPr="00DE1BD4">
        <w:t xml:space="preserve">mitigation </w:t>
      </w:r>
      <w:r w:rsidRPr="00DE1BD4">
        <w:t xml:space="preserve">of a secondary disaster. </w:t>
      </w:r>
      <w:r w:rsidR="00AD76A8" w:rsidRPr="00DE1BD4">
        <w:t>Crisis</w:t>
      </w:r>
      <w:r w:rsidRPr="00DE1BD4">
        <w:t xml:space="preserve"> management corresponds to the response and recovery phases.</w:t>
      </w:r>
    </w:p>
    <w:p w14:paraId="33AE7A1F" w14:textId="77777777" w:rsidR="00753A64" w:rsidRPr="00DE1BD4" w:rsidRDefault="00753A64" w:rsidP="002A436C">
      <w:pPr>
        <w:pStyle w:val="Caption"/>
        <w:jc w:val="center"/>
      </w:pPr>
      <w:bookmarkStart w:id="34" w:name="_Ref89613258"/>
      <w:bookmarkStart w:id="35" w:name="_Toc89458123"/>
      <w:bookmarkStart w:id="36" w:name="_Toc90888882"/>
      <w:bookmarkStart w:id="37" w:name="_Toc90889133"/>
      <w:bookmarkStart w:id="38" w:name="_Toc90889741"/>
      <w:bookmarkStart w:id="39" w:name="_Toc91172716"/>
    </w:p>
    <w:p w14:paraId="475A47AD" w14:textId="3FE1252C" w:rsidR="002A436C" w:rsidRPr="00DE1BD4" w:rsidRDefault="002A436C" w:rsidP="002A436C">
      <w:pPr>
        <w:pStyle w:val="Caption"/>
        <w:jc w:val="center"/>
      </w:pPr>
      <w:bookmarkStart w:id="40" w:name="_Ref167971392"/>
      <w:bookmarkStart w:id="41" w:name="_Ref110702231"/>
      <w:bookmarkStart w:id="42" w:name="_Toc181885863"/>
      <w:r w:rsidRPr="00DE1BD4">
        <w:t xml:space="preserve">Figure </w:t>
      </w:r>
      <w:r w:rsidR="005B36C9" w:rsidRPr="00DE1BD4">
        <w:fldChar w:fldCharType="begin"/>
      </w:r>
      <w:r w:rsidR="005B36C9" w:rsidRPr="00DE1BD4">
        <w:instrText xml:space="preserve"> SEQ Figure \* ARABIC </w:instrText>
      </w:r>
      <w:r w:rsidR="005B36C9" w:rsidRPr="00DE1BD4">
        <w:fldChar w:fldCharType="separate"/>
      </w:r>
      <w:r w:rsidR="003F405A">
        <w:rPr>
          <w:noProof/>
        </w:rPr>
        <w:t>1</w:t>
      </w:r>
      <w:r w:rsidR="005B36C9" w:rsidRPr="00DE1BD4">
        <w:fldChar w:fldCharType="end"/>
      </w:r>
      <w:bookmarkEnd w:id="34"/>
      <w:bookmarkEnd w:id="40"/>
      <w:r w:rsidRPr="00DE1BD4">
        <w:t xml:space="preserve"> - Phases of Disaster Risk Management</w:t>
      </w:r>
      <w:bookmarkEnd w:id="35"/>
      <w:bookmarkEnd w:id="36"/>
      <w:bookmarkEnd w:id="37"/>
      <w:bookmarkEnd w:id="38"/>
      <w:bookmarkEnd w:id="39"/>
      <w:bookmarkEnd w:id="41"/>
      <w:bookmarkEnd w:id="42"/>
    </w:p>
    <w:p w14:paraId="5506DD20" w14:textId="5C5DFE16" w:rsidR="002A436C" w:rsidRPr="00DE1BD4" w:rsidRDefault="002A436C" w:rsidP="00AB1F8A"/>
    <w:p w14:paraId="1CE96F5B" w14:textId="6D7C8432" w:rsidR="002A436C" w:rsidRPr="00DE1BD4" w:rsidRDefault="002A436C" w:rsidP="002A436C">
      <w:pPr>
        <w:jc w:val="center"/>
      </w:pPr>
      <w:r w:rsidRPr="00DE1BD4">
        <w:rPr>
          <w:noProof/>
          <w:color w:val="44546A"/>
        </w:rPr>
        <w:drawing>
          <wp:inline distT="0" distB="0" distL="0" distR="0" wp14:anchorId="39EF94F0" wp14:editId="37317DCD">
            <wp:extent cx="3397250" cy="2974693"/>
            <wp:effectExtent l="0" t="0" r="0" b="7620"/>
            <wp:docPr id="2"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21"/>
                    <a:srcRect/>
                    <a:stretch>
                      <a:fillRect/>
                    </a:stretch>
                  </pic:blipFill>
                  <pic:spPr>
                    <a:xfrm>
                      <a:off x="0" y="0"/>
                      <a:ext cx="3397250" cy="2974693"/>
                    </a:xfrm>
                    <a:prstGeom prst="rect">
                      <a:avLst/>
                    </a:prstGeom>
                    <a:ln/>
                  </pic:spPr>
                </pic:pic>
              </a:graphicData>
            </a:graphic>
          </wp:inline>
        </w:drawing>
      </w:r>
    </w:p>
    <w:p w14:paraId="5CE875E3" w14:textId="6A648F43" w:rsidR="002A436C" w:rsidRPr="00DE1BD4" w:rsidRDefault="002A436C" w:rsidP="002A436C">
      <w:pPr>
        <w:jc w:val="center"/>
      </w:pPr>
      <w:r w:rsidRPr="00DE1BD4">
        <w:t>Source: ITU (2020)</w:t>
      </w:r>
      <w:r w:rsidR="00C12012" w:rsidRPr="00DE1BD4">
        <w:rPr>
          <w:rStyle w:val="FootnoteReference"/>
        </w:rPr>
        <w:t xml:space="preserve"> </w:t>
      </w:r>
      <w:r w:rsidR="00C12012" w:rsidRPr="0045782B">
        <w:rPr>
          <w:rStyle w:val="FootnoteReference"/>
        </w:rPr>
        <w:footnoteReference w:id="4"/>
      </w:r>
    </w:p>
    <w:p w14:paraId="662B1D41" w14:textId="77777777" w:rsidR="00AB1F8A" w:rsidRPr="00DE1BD4" w:rsidRDefault="00AB1F8A" w:rsidP="00C528FF">
      <w:pPr>
        <w:pStyle w:val="Heading2"/>
      </w:pPr>
      <w:bookmarkStart w:id="43" w:name="_3dy6vkm"/>
      <w:bookmarkStart w:id="44" w:name="_Toc90825795"/>
      <w:bookmarkStart w:id="45" w:name="_Toc90825940"/>
      <w:bookmarkStart w:id="46" w:name="_Toc91172591"/>
      <w:bookmarkStart w:id="47" w:name="_Toc91185478"/>
      <w:bookmarkStart w:id="48" w:name="_Toc181885764"/>
      <w:bookmarkEnd w:id="43"/>
      <w:r w:rsidRPr="00DE1BD4">
        <w:t>Mitigation</w:t>
      </w:r>
      <w:bookmarkEnd w:id="44"/>
      <w:bookmarkEnd w:id="45"/>
      <w:bookmarkEnd w:id="46"/>
      <w:bookmarkEnd w:id="47"/>
      <w:bookmarkEnd w:id="48"/>
    </w:p>
    <w:p w14:paraId="44D0170A" w14:textId="32A7E4B6" w:rsidR="00E7645F" w:rsidRPr="00DE1BD4" w:rsidRDefault="00AB1F8A" w:rsidP="00AB1F8A">
      <w:r w:rsidRPr="00DE1BD4">
        <w:t xml:space="preserve">The mitigation phase seeks to carry out actions that aim to prevent </w:t>
      </w:r>
      <w:r w:rsidR="004E134C" w:rsidRPr="00DE1BD4">
        <w:t>a disaster,</w:t>
      </w:r>
      <w:r w:rsidRPr="00DE1BD4">
        <w:t xml:space="preserve"> reduce the probability of </w:t>
      </w:r>
      <w:r w:rsidR="004E134C" w:rsidRPr="00DE1BD4">
        <w:t xml:space="preserve">its </w:t>
      </w:r>
      <w:r w:rsidRPr="00DE1BD4">
        <w:t xml:space="preserve">occurrence, and limit the negative effects of unavoidable threats. This phase includes activities such as identifying existing </w:t>
      </w:r>
      <w:r w:rsidR="004E134C" w:rsidRPr="00DE1BD4">
        <w:t xml:space="preserve">hazards and </w:t>
      </w:r>
      <w:r w:rsidRPr="00DE1BD4">
        <w:t xml:space="preserve">risks, </w:t>
      </w:r>
      <w:r w:rsidR="00701B25" w:rsidRPr="00DE1BD4">
        <w:t>telecom/</w:t>
      </w:r>
      <w:r w:rsidR="004E134C" w:rsidRPr="00DE1BD4">
        <w:t xml:space="preserve">ICT </w:t>
      </w:r>
      <w:r w:rsidRPr="00DE1BD4">
        <w:t xml:space="preserve">vulnerability assessments, the construction or maintenance of </w:t>
      </w:r>
      <w:r w:rsidR="00D625F8" w:rsidRPr="00DE1BD4">
        <w:t xml:space="preserve">critical </w:t>
      </w:r>
      <w:r w:rsidR="00F666C9" w:rsidRPr="00DE1BD4">
        <w:t xml:space="preserve">telecom/ICT </w:t>
      </w:r>
      <w:r w:rsidRPr="00DE1BD4">
        <w:t>infrastructure</w:t>
      </w:r>
      <w:r w:rsidR="00E7645F" w:rsidRPr="00DE1BD4">
        <w:t>, and the development of written plans and procedures, such as the NETP</w:t>
      </w:r>
      <w:r w:rsidR="00D625F8" w:rsidRPr="00DE1BD4">
        <w:t xml:space="preserve">. </w:t>
      </w:r>
    </w:p>
    <w:p w14:paraId="03A6241A" w14:textId="078869C6" w:rsidR="00C662DA" w:rsidRPr="00DE1BD4" w:rsidRDefault="00C662DA" w:rsidP="00AB1F8A">
      <w:r w:rsidRPr="00DE1BD4">
        <w:t xml:space="preserve">During this phase, the role of telecom/ICTs is to help analyse the risk of potential disasters, disseminate information about impending hazards and on how to mitigate its impacts so that hazards do not lead to disasters, identify communities at risk, and to help implement strategies, technologies and processes that can reduce those negative effects. Activities carried out during the mitigation phase include establishing legal and regulatory frameworks that support the use of emergency telecom/ICTs, conducting risk analysis of critical telecom/ICT network infrastructure, taking steps to reduce the vulnerability of telecommunications networks and improve their capacity of recovery, and assess vulnerabilities </w:t>
      </w:r>
      <w:r w:rsidR="001055ED" w:rsidRPr="00DE1BD4">
        <w:t>to</w:t>
      </w:r>
      <w:r w:rsidRPr="00DE1BD4">
        <w:t xml:space="preserve"> develop multi-hazard early warning systems with the appropriate technology for each case. These strategies should be implemented before and after the emergency</w:t>
      </w:r>
      <w:r w:rsidRPr="0045782B">
        <w:rPr>
          <w:rStyle w:val="FootnoteReference"/>
        </w:rPr>
        <w:footnoteReference w:id="5"/>
      </w:r>
      <w:r w:rsidR="001A7B67" w:rsidRPr="00DE1BD4">
        <w:t>.</w:t>
      </w:r>
    </w:p>
    <w:p w14:paraId="11E64C70" w14:textId="77777777" w:rsidR="00AB1F8A" w:rsidRPr="00DE1BD4" w:rsidRDefault="00AB1F8A" w:rsidP="00C528FF">
      <w:pPr>
        <w:pStyle w:val="Heading2"/>
      </w:pPr>
      <w:bookmarkStart w:id="49" w:name="_1t3h5sf"/>
      <w:bookmarkStart w:id="50" w:name="_Toc90825796"/>
      <w:bookmarkStart w:id="51" w:name="_Toc90825941"/>
      <w:bookmarkStart w:id="52" w:name="_Toc91172592"/>
      <w:bookmarkStart w:id="53" w:name="_Toc91185479"/>
      <w:bookmarkStart w:id="54" w:name="_Toc181885765"/>
      <w:bookmarkEnd w:id="49"/>
      <w:r w:rsidRPr="00DE1BD4">
        <w:t>Preparedness</w:t>
      </w:r>
      <w:bookmarkEnd w:id="50"/>
      <w:bookmarkEnd w:id="51"/>
      <w:bookmarkEnd w:id="52"/>
      <w:bookmarkEnd w:id="53"/>
      <w:bookmarkEnd w:id="54"/>
    </w:p>
    <w:p w14:paraId="4B0F2E91" w14:textId="22CAEDEA" w:rsidR="00AB1F8A" w:rsidRPr="00DE1BD4" w:rsidRDefault="00AB1F8A" w:rsidP="00AB1F8A">
      <w:r w:rsidRPr="00DE1BD4">
        <w:t xml:space="preserve">The </w:t>
      </w:r>
      <w:r w:rsidR="00D46FC1" w:rsidRPr="00DE1BD4">
        <w:t xml:space="preserve">preparedness </w:t>
      </w:r>
      <w:r w:rsidRPr="00DE1BD4">
        <w:t xml:space="preserve">phase includes the planning and preparations necessary to respond to </w:t>
      </w:r>
      <w:r w:rsidR="00D46FC1" w:rsidRPr="00DE1BD4">
        <w:t xml:space="preserve">a disaster </w:t>
      </w:r>
      <w:r w:rsidRPr="00DE1BD4">
        <w:t xml:space="preserve">event. These include the establishment of </w:t>
      </w:r>
      <w:r w:rsidR="00D46FC1" w:rsidRPr="00DE1BD4">
        <w:t xml:space="preserve">multi-hazard </w:t>
      </w:r>
      <w:r w:rsidRPr="00DE1BD4">
        <w:t xml:space="preserve">early warning systems, training, operational processes, </w:t>
      </w:r>
      <w:r w:rsidR="00E7645F" w:rsidRPr="00DE1BD4">
        <w:t>and the implementation of those written plans and procedures developed during the mitigation phase.</w:t>
      </w:r>
    </w:p>
    <w:p w14:paraId="207A59C4" w14:textId="174E975D" w:rsidR="00AB1F8A" w:rsidRPr="00DE1BD4" w:rsidRDefault="00AD76A8" w:rsidP="00AB1F8A">
      <w:r w:rsidRPr="00DE1BD4">
        <w:t>Telecom/ICT</w:t>
      </w:r>
      <w:r w:rsidR="00AB1F8A" w:rsidRPr="00DE1BD4">
        <w:t xml:space="preserve"> </w:t>
      </w:r>
      <w:r w:rsidR="00F666C9" w:rsidRPr="00DE1BD4">
        <w:t xml:space="preserve">networks and services </w:t>
      </w:r>
      <w:r w:rsidR="00AB1F8A" w:rsidRPr="00DE1BD4">
        <w:t>in this phase are essential to facilitate the dissemination of information</w:t>
      </w:r>
      <w:r w:rsidR="0026249E" w:rsidRPr="00DE1BD4">
        <w:t>, educational campaigns</w:t>
      </w:r>
      <w:r w:rsidR="00AB1F8A" w:rsidRPr="00DE1BD4">
        <w:t xml:space="preserve"> and alerts so that the public is aware of the actions they must take during an emergency. Likewise, they must facilitate the coordination and communication of</w:t>
      </w:r>
      <w:r w:rsidR="00F666C9" w:rsidRPr="00DE1BD4">
        <w:t xml:space="preserve"> national</w:t>
      </w:r>
      <w:r w:rsidR="00AB1F8A" w:rsidRPr="00DE1BD4">
        <w:t xml:space="preserve"> e</w:t>
      </w:r>
      <w:r w:rsidR="00F666C9" w:rsidRPr="00DE1BD4">
        <w:t>ntities</w:t>
      </w:r>
      <w:r w:rsidR="00AB1F8A" w:rsidRPr="00DE1BD4">
        <w:t xml:space="preserve"> involved in disaster</w:t>
      </w:r>
      <w:r w:rsidR="00F666C9" w:rsidRPr="00DE1BD4">
        <w:t xml:space="preserve"> risk</w:t>
      </w:r>
      <w:r w:rsidR="00AB1F8A" w:rsidRPr="00DE1BD4">
        <w:t xml:space="preserve"> management. </w:t>
      </w:r>
    </w:p>
    <w:p w14:paraId="10D27159" w14:textId="3BD51CD1" w:rsidR="00AB1F8A" w:rsidRPr="00DE1BD4" w:rsidRDefault="00E7645F" w:rsidP="00AB1F8A">
      <w:r w:rsidRPr="00DE1BD4">
        <w:t>D</w:t>
      </w:r>
      <w:r w:rsidR="00FD56A4" w:rsidRPr="00DE1BD4">
        <w:t>uring this phase</w:t>
      </w:r>
      <w:r w:rsidRPr="00DE1BD4">
        <w:t>,</w:t>
      </w:r>
      <w:r w:rsidR="00FD56A4" w:rsidRPr="00DE1BD4">
        <w:t xml:space="preserve"> </w:t>
      </w:r>
      <w:r w:rsidRPr="00DE1BD4">
        <w:t>it is important to make and implement plans to guarantee that communications w</w:t>
      </w:r>
      <w:r w:rsidR="000921F8" w:rsidRPr="00DE1BD4">
        <w:t>ill no</w:t>
      </w:r>
      <w:r w:rsidRPr="00DE1BD4">
        <w:t xml:space="preserve">t be interrupted, to continuously carry out </w:t>
      </w:r>
      <w:r w:rsidR="000921F8" w:rsidRPr="00DE1BD4">
        <w:t>telecom/</w:t>
      </w:r>
      <w:r w:rsidRPr="00DE1BD4">
        <w:t>ICT training and drills, and to regularly carry out activities designed to create awareness among those involved, including campaigns in different formats accessible to the entire population regarding potential hazards and the activities that people must carry out once a disaster strikes.</w:t>
      </w:r>
    </w:p>
    <w:p w14:paraId="74531F32" w14:textId="77777777" w:rsidR="00AB1F8A" w:rsidRPr="00DE1BD4" w:rsidRDefault="00AB1F8A" w:rsidP="00C528FF">
      <w:pPr>
        <w:pStyle w:val="Heading2"/>
      </w:pPr>
      <w:bookmarkStart w:id="55" w:name="_4d34og8"/>
      <w:bookmarkStart w:id="56" w:name="_Toc90825797"/>
      <w:bookmarkStart w:id="57" w:name="_Toc90825942"/>
      <w:bookmarkStart w:id="58" w:name="_Toc91172593"/>
      <w:bookmarkStart w:id="59" w:name="_Toc91185480"/>
      <w:bookmarkStart w:id="60" w:name="_Toc181885766"/>
      <w:bookmarkEnd w:id="55"/>
      <w:r w:rsidRPr="00DE1BD4">
        <w:t>Response</w:t>
      </w:r>
      <w:bookmarkEnd w:id="56"/>
      <w:bookmarkEnd w:id="57"/>
      <w:bookmarkEnd w:id="58"/>
      <w:bookmarkEnd w:id="59"/>
      <w:bookmarkEnd w:id="60"/>
    </w:p>
    <w:p w14:paraId="33E0C663" w14:textId="538E71C8" w:rsidR="00AB1F8A" w:rsidRPr="00DE1BD4" w:rsidRDefault="00AB1F8A" w:rsidP="000921F8">
      <w:pPr>
        <w:pBdr>
          <w:top w:val="nil"/>
          <w:left w:val="nil"/>
          <w:bottom w:val="nil"/>
          <w:right w:val="nil"/>
          <w:between w:val="nil"/>
        </w:pBdr>
        <w:spacing w:after="0" w:line="240" w:lineRule="auto"/>
        <w:rPr>
          <w:color w:val="000000"/>
        </w:rPr>
      </w:pPr>
      <w:r w:rsidRPr="00DE1BD4">
        <w:rPr>
          <w:color w:val="000000"/>
        </w:rPr>
        <w:t>The response phase is carried out during the emergency</w:t>
      </w:r>
      <w:r w:rsidR="00CF1761" w:rsidRPr="00DE1BD4">
        <w:rPr>
          <w:color w:val="000000"/>
        </w:rPr>
        <w:t xml:space="preserve"> itself</w:t>
      </w:r>
      <w:r w:rsidRPr="00DE1BD4">
        <w:rPr>
          <w:color w:val="000000"/>
        </w:rPr>
        <w:t xml:space="preserve"> and includes</w:t>
      </w:r>
      <w:r w:rsidR="00526332" w:rsidRPr="00DE1BD4">
        <w:rPr>
          <w:color w:val="000000"/>
        </w:rPr>
        <w:t xml:space="preserve"> humanitarian</w:t>
      </w:r>
      <w:r w:rsidRPr="00DE1BD4">
        <w:rPr>
          <w:color w:val="000000"/>
        </w:rPr>
        <w:t xml:space="preserve"> activities such as</w:t>
      </w:r>
      <w:r w:rsidR="00CF1761" w:rsidRPr="00DE1BD4">
        <w:rPr>
          <w:color w:val="000000"/>
        </w:rPr>
        <w:t xml:space="preserve"> search and rescue,</w:t>
      </w:r>
      <w:r w:rsidRPr="00DE1BD4">
        <w:rPr>
          <w:color w:val="000000"/>
        </w:rPr>
        <w:t xml:space="preserve"> the evacuation of </w:t>
      </w:r>
      <w:r w:rsidR="00CF1761" w:rsidRPr="00DE1BD4">
        <w:rPr>
          <w:color w:val="000000"/>
        </w:rPr>
        <w:t xml:space="preserve">people from </w:t>
      </w:r>
      <w:r w:rsidRPr="00DE1BD4">
        <w:rPr>
          <w:color w:val="000000"/>
        </w:rPr>
        <w:t xml:space="preserve">affected areas, the opening of shelters, among others. </w:t>
      </w:r>
    </w:p>
    <w:p w14:paraId="51279C4E" w14:textId="77777777" w:rsidR="00AB1F8A" w:rsidRPr="00DE1BD4" w:rsidRDefault="00AB1F8A" w:rsidP="000921F8">
      <w:pPr>
        <w:pBdr>
          <w:top w:val="nil"/>
          <w:left w:val="nil"/>
          <w:bottom w:val="nil"/>
          <w:right w:val="nil"/>
          <w:between w:val="nil"/>
        </w:pBdr>
        <w:spacing w:after="0" w:line="240" w:lineRule="auto"/>
        <w:rPr>
          <w:color w:val="000000"/>
        </w:rPr>
      </w:pPr>
    </w:p>
    <w:p w14:paraId="77A43C17" w14:textId="56F2E803" w:rsidR="00AB1F8A" w:rsidRPr="00DE1BD4" w:rsidRDefault="00AB1F8A" w:rsidP="003B456A">
      <w:r w:rsidRPr="00DE1BD4">
        <w:t xml:space="preserve">The role of </w:t>
      </w:r>
      <w:r w:rsidR="00AD76A8" w:rsidRPr="00DE1BD4">
        <w:t>telecom/ICT</w:t>
      </w:r>
      <w:r w:rsidR="00FD56A4" w:rsidRPr="00DE1BD4">
        <w:t>s</w:t>
      </w:r>
      <w:r w:rsidRPr="00DE1BD4">
        <w:t xml:space="preserve"> </w:t>
      </w:r>
      <w:r w:rsidR="00F666C9" w:rsidRPr="00DE1BD4">
        <w:t>networks</w:t>
      </w:r>
      <w:r w:rsidR="0026249E" w:rsidRPr="00DE1BD4">
        <w:t xml:space="preserve"> and services </w:t>
      </w:r>
      <w:r w:rsidRPr="00DE1BD4">
        <w:t xml:space="preserve">during this phase is vital </w:t>
      </w:r>
      <w:r w:rsidR="00FD56A4" w:rsidRPr="00DE1BD4">
        <w:t>for</w:t>
      </w:r>
      <w:r w:rsidRPr="00DE1BD4">
        <w:t xml:space="preserve"> connect</w:t>
      </w:r>
      <w:r w:rsidR="00FD56A4" w:rsidRPr="00DE1BD4">
        <w:t>ing</w:t>
      </w:r>
      <w:r w:rsidRPr="00DE1BD4">
        <w:t xml:space="preserve"> stakeholders</w:t>
      </w:r>
      <w:r w:rsidR="00CF1761" w:rsidRPr="00DE1BD4">
        <w:t>, such as first responders</w:t>
      </w:r>
      <w:r w:rsidR="001418B4" w:rsidRPr="00DE1BD4">
        <w:t xml:space="preserve">, government agencies, communities at risk, shelters, health </w:t>
      </w:r>
      <w:r w:rsidR="009F2986" w:rsidRPr="00DE1BD4">
        <w:t>centres</w:t>
      </w:r>
      <w:r w:rsidR="001418B4" w:rsidRPr="00DE1BD4">
        <w:t xml:space="preserve">, </w:t>
      </w:r>
      <w:r w:rsidR="00F666C9" w:rsidRPr="00DE1BD4">
        <w:t xml:space="preserve">and </w:t>
      </w:r>
      <w:r w:rsidR="00526332" w:rsidRPr="00DE1BD4">
        <w:t>Non-Governmental Organizations (</w:t>
      </w:r>
      <w:r w:rsidR="001418B4" w:rsidRPr="00DE1BD4">
        <w:t>NGOs</w:t>
      </w:r>
      <w:r w:rsidR="00526332" w:rsidRPr="00DE1BD4">
        <w:t>)</w:t>
      </w:r>
      <w:r w:rsidR="001418B4" w:rsidRPr="00DE1BD4">
        <w:t>, among others. This is</w:t>
      </w:r>
      <w:r w:rsidRPr="00DE1BD4">
        <w:t xml:space="preserve"> </w:t>
      </w:r>
      <w:r w:rsidR="00FD56A4" w:rsidRPr="00DE1BD4">
        <w:t>e</w:t>
      </w:r>
      <w:r w:rsidRPr="00DE1BD4">
        <w:t xml:space="preserve">specially </w:t>
      </w:r>
      <w:r w:rsidR="001418B4" w:rsidRPr="00DE1BD4">
        <w:t xml:space="preserve">important </w:t>
      </w:r>
      <w:r w:rsidRPr="00DE1BD4">
        <w:t xml:space="preserve">considering that several entities carry out a variety of activities and procedures at the local, </w:t>
      </w:r>
      <w:r w:rsidR="009F2986" w:rsidRPr="00DE1BD4">
        <w:t>national,</w:t>
      </w:r>
      <w:r w:rsidRPr="00DE1BD4">
        <w:t xml:space="preserve"> and international level.</w:t>
      </w:r>
      <w:r w:rsidR="00CF1761" w:rsidRPr="00DE1BD4">
        <w:t xml:space="preserve"> </w:t>
      </w:r>
    </w:p>
    <w:p w14:paraId="560FFCA4" w14:textId="77777777" w:rsidR="00AB1F8A" w:rsidRPr="00DE1BD4" w:rsidRDefault="00AB1F8A" w:rsidP="00C528FF">
      <w:pPr>
        <w:pStyle w:val="Heading2"/>
      </w:pPr>
      <w:bookmarkStart w:id="61" w:name="_2s8eyo1"/>
      <w:bookmarkStart w:id="62" w:name="_Toc90825798"/>
      <w:bookmarkStart w:id="63" w:name="_Toc90825943"/>
      <w:bookmarkStart w:id="64" w:name="_Toc91172594"/>
      <w:bookmarkStart w:id="65" w:name="_Toc91185481"/>
      <w:bookmarkStart w:id="66" w:name="_Toc181885767"/>
      <w:bookmarkEnd w:id="61"/>
      <w:r w:rsidRPr="00DE1BD4">
        <w:t>Recovery</w:t>
      </w:r>
      <w:bookmarkEnd w:id="62"/>
      <w:bookmarkEnd w:id="63"/>
      <w:bookmarkEnd w:id="64"/>
      <w:bookmarkEnd w:id="65"/>
      <w:bookmarkEnd w:id="66"/>
    </w:p>
    <w:p w14:paraId="1421B265" w14:textId="5ED7F124" w:rsidR="003227E9" w:rsidRPr="00DE1BD4" w:rsidRDefault="00AB1F8A" w:rsidP="002A436C">
      <w:r w:rsidRPr="00DE1BD4">
        <w:t xml:space="preserve">The recovery phase </w:t>
      </w:r>
      <w:r w:rsidR="00203992" w:rsidRPr="00DE1BD4">
        <w:t xml:space="preserve">of the weeks and months after </w:t>
      </w:r>
      <w:r w:rsidR="001418B4" w:rsidRPr="00DE1BD4">
        <w:t xml:space="preserve">a </w:t>
      </w:r>
      <w:r w:rsidR="00203992" w:rsidRPr="00DE1BD4">
        <w:t>disaster</w:t>
      </w:r>
      <w:r w:rsidRPr="00DE1BD4">
        <w:t xml:space="preserve"> focuses on providing necessary aid to </w:t>
      </w:r>
      <w:r w:rsidR="001C439E" w:rsidRPr="00DE1BD4">
        <w:t>restore to the community</w:t>
      </w:r>
      <w:r w:rsidRPr="00DE1BD4">
        <w:t xml:space="preserve"> the </w:t>
      </w:r>
      <w:r w:rsidR="00203992" w:rsidRPr="00DE1BD4">
        <w:t xml:space="preserve">pre-disaster </w:t>
      </w:r>
      <w:r w:rsidRPr="00DE1BD4">
        <w:t xml:space="preserve">levels of safety and functionality </w:t>
      </w:r>
      <w:r w:rsidR="001C439E" w:rsidRPr="00DE1BD4">
        <w:t>as a minimum, but ideally should improve on that standard by “building back better”</w:t>
      </w:r>
      <w:r w:rsidRPr="00DE1BD4">
        <w:t>. Activities during this phase include</w:t>
      </w:r>
      <w:r w:rsidR="001C439E" w:rsidRPr="00DE1BD4">
        <w:t xml:space="preserve"> (but are not limited to)</w:t>
      </w:r>
      <w:r w:rsidRPr="00DE1BD4">
        <w:t xml:space="preserve"> infrastructure reconstruction, restoration of public sector operations</w:t>
      </w:r>
      <w:r w:rsidR="002947D4" w:rsidRPr="00DE1BD4">
        <w:t>,</w:t>
      </w:r>
      <w:r w:rsidRPr="00DE1BD4">
        <w:t xml:space="preserve"> </w:t>
      </w:r>
      <w:r w:rsidR="003B456A" w:rsidRPr="00DE1BD4">
        <w:t xml:space="preserve">and </w:t>
      </w:r>
      <w:r w:rsidR="001418B4" w:rsidRPr="00DE1BD4">
        <w:t>debris removal</w:t>
      </w:r>
      <w:r w:rsidRPr="00DE1BD4">
        <w:t xml:space="preserve">. This restoration and reconstruction must include </w:t>
      </w:r>
      <w:r w:rsidR="00AD76A8" w:rsidRPr="00DE1BD4">
        <w:t>telecom/ICT</w:t>
      </w:r>
      <w:r w:rsidRPr="00DE1BD4">
        <w:t xml:space="preserve"> infrastructure, </w:t>
      </w:r>
      <w:r w:rsidR="00203992" w:rsidRPr="00DE1BD4">
        <w:t>given</w:t>
      </w:r>
      <w:r w:rsidRPr="00DE1BD4">
        <w:t xml:space="preserve"> the fundamental role that the sector plays within the community</w:t>
      </w:r>
      <w:r w:rsidR="001C439E" w:rsidRPr="00DE1BD4">
        <w:t>.</w:t>
      </w:r>
      <w:bookmarkStart w:id="67" w:name="_17dp8vu"/>
      <w:bookmarkStart w:id="68" w:name="_Toc36194976"/>
      <w:bookmarkEnd w:id="67"/>
      <w:r w:rsidR="003227E9" w:rsidRPr="00DE1BD4">
        <w:br w:type="page"/>
      </w:r>
    </w:p>
    <w:p w14:paraId="3D0FE249" w14:textId="67435AEF" w:rsidR="00F205FD" w:rsidRPr="00DE1BD4" w:rsidRDefault="00F205FD" w:rsidP="00B16221">
      <w:pPr>
        <w:pStyle w:val="Heading1"/>
      </w:pPr>
      <w:bookmarkStart w:id="69" w:name="_Toc181885768"/>
      <w:bookmarkStart w:id="70" w:name="_Toc90825799"/>
      <w:bookmarkStart w:id="71" w:name="_Toc90825944"/>
      <w:bookmarkStart w:id="72" w:name="_Ref90895998"/>
      <w:bookmarkStart w:id="73" w:name="_Ref90896009"/>
      <w:bookmarkStart w:id="74" w:name="_Toc91172595"/>
      <w:bookmarkStart w:id="75" w:name="_Toc91185482"/>
      <w:bookmarkStart w:id="76" w:name="_Ref110508551"/>
      <w:bookmarkStart w:id="77" w:name="_Ref110508566"/>
      <w:bookmarkStart w:id="78" w:name="_Ref110508673"/>
      <w:r w:rsidRPr="00DE1BD4">
        <w:t>Earl</w:t>
      </w:r>
      <w:r w:rsidR="00B36739" w:rsidRPr="00DE1BD4">
        <w:t>y</w:t>
      </w:r>
      <w:r w:rsidRPr="00DE1BD4">
        <w:t xml:space="preserve"> Warning</w:t>
      </w:r>
      <w:r w:rsidR="00B36739" w:rsidRPr="00DE1BD4">
        <w:t xml:space="preserve"> for All Initiative (EW4ALL)</w:t>
      </w:r>
      <w:bookmarkEnd w:id="69"/>
    </w:p>
    <w:p w14:paraId="7A807AC2" w14:textId="57A96AA0" w:rsidR="00DD3418" w:rsidRPr="00DE1BD4" w:rsidRDefault="00DD3418" w:rsidP="00DD3418">
      <w:pPr>
        <w:rPr>
          <w:rFonts w:asciiTheme="minorHAnsi" w:eastAsiaTheme="minorHAnsi" w:hAnsiTheme="minorHAnsi" w:cstheme="minorHAnsi"/>
          <w:lang w:eastAsia="en-US"/>
        </w:rPr>
      </w:pPr>
      <w:r w:rsidRPr="00DE1BD4">
        <w:rPr>
          <w:rFonts w:cstheme="minorHAnsi"/>
        </w:rPr>
        <w:t>In March 2022, the UN Secretary-General launched the EW4All initiative, to ensure that everyone on the planet is protected from hazardous weather, water or climate events through early warning systems by the end of 2027</w:t>
      </w:r>
      <w:r w:rsidRPr="0045782B">
        <w:rPr>
          <w:rStyle w:val="FootnoteReference"/>
        </w:rPr>
        <w:footnoteReference w:id="6"/>
      </w:r>
      <w:r w:rsidR="0023418E" w:rsidRPr="00DE1BD4">
        <w:rPr>
          <w:rFonts w:cstheme="minorHAnsi"/>
        </w:rPr>
        <w:t>.</w:t>
      </w:r>
      <w:r w:rsidRPr="00DE1BD4">
        <w:rPr>
          <w:rFonts w:cstheme="minorHAnsi"/>
        </w:rPr>
        <w:t xml:space="preserve"> The initiative is co-led by the World Meteorological Organization (WMO) and the United Nations Office for Disaster Risk Reduction (UNDRR), with support from the International Telecommunication Union (ITU) and the International Federation of Red Cross and Red Crescent Societies (IFRC) as well as other partners</w:t>
      </w:r>
      <w:r w:rsidRPr="0045782B">
        <w:rPr>
          <w:rStyle w:val="FootnoteReference"/>
        </w:rPr>
        <w:footnoteReference w:id="7"/>
      </w:r>
      <w:r w:rsidR="0023418E" w:rsidRPr="00DE1BD4">
        <w:rPr>
          <w:rFonts w:cstheme="minorHAnsi"/>
        </w:rPr>
        <w:t>.</w:t>
      </w:r>
    </w:p>
    <w:p w14:paraId="2DF2588B" w14:textId="2149D815" w:rsidR="00DD3418" w:rsidRPr="00DE1BD4" w:rsidRDefault="00DD3418" w:rsidP="00DD3418">
      <w:pPr>
        <w:rPr>
          <w:rFonts w:cstheme="minorHAnsi"/>
        </w:rPr>
      </w:pPr>
      <w:r w:rsidRPr="00DE1BD4">
        <w:rPr>
          <w:rFonts w:cstheme="minorHAnsi"/>
        </w:rPr>
        <w:t>The EW4All initiative considers 4 key Multi-Hazard Early Warning System (MHEWS) pillars</w:t>
      </w:r>
      <w:r w:rsidRPr="0045782B">
        <w:rPr>
          <w:rStyle w:val="FootnoteReference"/>
        </w:rPr>
        <w:footnoteReference w:id="8"/>
      </w:r>
      <w:r w:rsidRPr="00DE1BD4">
        <w:rPr>
          <w:rFonts w:cstheme="minorHAnsi"/>
        </w:rPr>
        <w:t xml:space="preserve"> (see</w:t>
      </w:r>
      <w:r w:rsidR="00D51FF2" w:rsidRPr="00DE1BD4">
        <w:rPr>
          <w:rFonts w:cstheme="minorHAnsi"/>
        </w:rPr>
        <w:t xml:space="preserve"> </w:t>
      </w:r>
      <w:r w:rsidR="00D51FF2" w:rsidRPr="00DE1BD4">
        <w:rPr>
          <w:rFonts w:cstheme="minorHAnsi"/>
        </w:rPr>
        <w:fldChar w:fldCharType="begin"/>
      </w:r>
      <w:r w:rsidR="00D51FF2" w:rsidRPr="00DE1BD4">
        <w:rPr>
          <w:rFonts w:cstheme="minorHAnsi"/>
        </w:rPr>
        <w:instrText xml:space="preserve"> REF _Ref168471973 \h </w:instrText>
      </w:r>
      <w:r w:rsidR="00D51FF2" w:rsidRPr="00DE1BD4">
        <w:rPr>
          <w:rFonts w:cstheme="minorHAnsi"/>
        </w:rPr>
      </w:r>
      <w:r w:rsidR="00D51FF2" w:rsidRPr="00DE1BD4">
        <w:rPr>
          <w:rFonts w:cstheme="minorHAnsi"/>
        </w:rPr>
        <w:fldChar w:fldCharType="separate"/>
      </w:r>
      <w:r w:rsidR="00D51FF2" w:rsidRPr="00DE1BD4">
        <w:t>Figure 2</w:t>
      </w:r>
      <w:r w:rsidR="00D51FF2" w:rsidRPr="00DE1BD4">
        <w:rPr>
          <w:rFonts w:cstheme="minorHAnsi"/>
        </w:rPr>
        <w:fldChar w:fldCharType="end"/>
      </w:r>
      <w:r w:rsidR="00D51FF2" w:rsidRPr="00DE1BD4">
        <w:rPr>
          <w:rFonts w:cstheme="minorHAnsi"/>
        </w:rPr>
        <w:t xml:space="preserve"> below</w:t>
      </w:r>
      <w:r w:rsidRPr="00DE1BD4">
        <w:rPr>
          <w:rFonts w:cstheme="minorHAnsi"/>
        </w:rPr>
        <w:t>):</w:t>
      </w:r>
    </w:p>
    <w:p w14:paraId="453B8DE9" w14:textId="77777777" w:rsidR="00DD3418" w:rsidRPr="00DE1BD4" w:rsidRDefault="00DD3418" w:rsidP="00963CF3">
      <w:pPr>
        <w:numPr>
          <w:ilvl w:val="0"/>
          <w:numId w:val="37"/>
        </w:numPr>
        <w:shd w:val="clear" w:color="auto" w:fill="FFFFFF"/>
        <w:spacing w:before="100" w:beforeAutospacing="1" w:after="100" w:afterAutospacing="1" w:line="240" w:lineRule="auto"/>
        <w:rPr>
          <w:rFonts w:cstheme="minorHAnsi"/>
        </w:rPr>
      </w:pPr>
      <w:r w:rsidRPr="00DE1BD4">
        <w:rPr>
          <w:rFonts w:cstheme="minorHAnsi"/>
          <w:u w:val="single"/>
        </w:rPr>
        <w:t>Disaster risk knowledge and management</w:t>
      </w:r>
      <w:r w:rsidRPr="00DE1BD4">
        <w:rPr>
          <w:rFonts w:cstheme="minorHAnsi"/>
        </w:rPr>
        <w:t>: Aims to collect data and undertake risk assessments to increase knowledge on hazards and vulnerabilities and trends. It is led by UNDRR with support from WMO.</w:t>
      </w:r>
    </w:p>
    <w:p w14:paraId="18BFED14" w14:textId="77777777" w:rsidR="00DD3418" w:rsidRPr="00DE1BD4" w:rsidRDefault="00DD3418" w:rsidP="00963CF3">
      <w:pPr>
        <w:numPr>
          <w:ilvl w:val="0"/>
          <w:numId w:val="37"/>
        </w:numPr>
        <w:shd w:val="clear" w:color="auto" w:fill="FFFFFF"/>
        <w:spacing w:before="100" w:beforeAutospacing="1" w:after="100" w:afterAutospacing="1" w:line="240" w:lineRule="auto"/>
        <w:rPr>
          <w:rFonts w:cstheme="minorHAnsi"/>
        </w:rPr>
      </w:pPr>
      <w:r w:rsidRPr="00DE1BD4">
        <w:rPr>
          <w:rFonts w:cstheme="minorHAnsi"/>
          <w:u w:val="single"/>
        </w:rPr>
        <w:t>Detection, observations, monitoring, analysis and forecasting of hazards</w:t>
      </w:r>
      <w:r w:rsidRPr="00DE1BD4">
        <w:rPr>
          <w:rFonts w:cstheme="minorHAnsi"/>
        </w:rPr>
        <w:t>: Seeks to develop hazard monitoring and early warning services. It is led by WMO, with support from UN Development Programme (UNDP), UN Educational, Scientific and Cultural Organization (UNESCO), and UN Environment Programme (UNEP).</w:t>
      </w:r>
    </w:p>
    <w:p w14:paraId="15F6CC0B" w14:textId="77777777" w:rsidR="00DD3418" w:rsidRPr="00DE1BD4" w:rsidRDefault="00DD3418" w:rsidP="00963CF3">
      <w:pPr>
        <w:numPr>
          <w:ilvl w:val="0"/>
          <w:numId w:val="37"/>
        </w:numPr>
        <w:shd w:val="clear" w:color="auto" w:fill="FFFFFF"/>
        <w:spacing w:before="100" w:beforeAutospacing="1" w:after="100" w:afterAutospacing="1" w:line="240" w:lineRule="auto"/>
        <w:rPr>
          <w:rFonts w:cstheme="minorHAnsi"/>
        </w:rPr>
      </w:pPr>
      <w:r w:rsidRPr="00DE1BD4">
        <w:rPr>
          <w:rFonts w:cstheme="minorHAnsi"/>
          <w:u w:val="single"/>
        </w:rPr>
        <w:t>Dissemination and communication</w:t>
      </w:r>
      <w:r w:rsidRPr="00DE1BD4">
        <w:rPr>
          <w:rFonts w:cstheme="minorHAnsi"/>
        </w:rPr>
        <w:t>: Focus on communication of risk information so it reaches all those who need it, in an understandable and usable way. It is led by ITU, with support from IFRC, UNDP, and WMO.</w:t>
      </w:r>
    </w:p>
    <w:p w14:paraId="37FE892E" w14:textId="77777777" w:rsidR="00DD3418" w:rsidRPr="00DE1BD4" w:rsidRDefault="00DD3418" w:rsidP="00963CF3">
      <w:pPr>
        <w:numPr>
          <w:ilvl w:val="0"/>
          <w:numId w:val="37"/>
        </w:numPr>
        <w:shd w:val="clear" w:color="auto" w:fill="FFFFFF"/>
        <w:spacing w:before="100" w:beforeAutospacing="1" w:after="100" w:afterAutospacing="1" w:line="240" w:lineRule="auto"/>
        <w:rPr>
          <w:rFonts w:cstheme="minorHAnsi"/>
        </w:rPr>
      </w:pPr>
      <w:r w:rsidRPr="00DE1BD4">
        <w:rPr>
          <w:rFonts w:cstheme="minorHAnsi"/>
          <w:u w:val="single"/>
        </w:rPr>
        <w:t>Preparedness and response</w:t>
      </w:r>
      <w:r w:rsidRPr="00DE1BD4">
        <w:rPr>
          <w:rFonts w:cstheme="minorHAnsi"/>
        </w:rPr>
        <w:t>: Seek to build national and community response capabilities. Led by IFRC, with support from Risk Informed Early Action Partnership (REAP), Office for the Coordination of Humanitarian Affairs (OCHA), Food and Agriculture Organization (FAO), and World Food Programme (WFP).</w:t>
      </w:r>
    </w:p>
    <w:p w14:paraId="35F71E50" w14:textId="136D8311" w:rsidR="00DD3418" w:rsidRPr="00DE1BD4" w:rsidRDefault="008B4D09" w:rsidP="008B4D09">
      <w:pPr>
        <w:autoSpaceDE w:val="0"/>
        <w:autoSpaceDN w:val="0"/>
        <w:adjustRightInd w:val="0"/>
        <w:spacing w:after="0" w:line="240" w:lineRule="auto"/>
        <w:rPr>
          <w:rFonts w:asciiTheme="minorHAnsi" w:hAnsiTheme="minorHAnsi" w:cstheme="minorHAnsi"/>
        </w:rPr>
      </w:pPr>
      <w:r w:rsidRPr="00DE1BD4">
        <w:rPr>
          <w:rFonts w:asciiTheme="minorHAnsi" w:hAnsiTheme="minorHAnsi" w:cstheme="minorHAnsi"/>
        </w:rPr>
        <w:t>In November 2022, an Executive Action Plan was launched to implement this initiative. The Plan establishes the different outcomes and activities to carry out to effectively implement the initiative in each of the 4 pillars.</w:t>
      </w:r>
    </w:p>
    <w:p w14:paraId="1077942E" w14:textId="77777777" w:rsidR="00BF1153" w:rsidRPr="00DE1BD4" w:rsidRDefault="00BF1153" w:rsidP="008B4D09">
      <w:pPr>
        <w:autoSpaceDE w:val="0"/>
        <w:autoSpaceDN w:val="0"/>
        <w:adjustRightInd w:val="0"/>
        <w:spacing w:after="0" w:line="240" w:lineRule="auto"/>
        <w:rPr>
          <w:rFonts w:asciiTheme="minorHAnsi" w:hAnsiTheme="minorHAnsi" w:cstheme="minorHAnsi"/>
        </w:rPr>
      </w:pPr>
    </w:p>
    <w:p w14:paraId="7E4AD3B0" w14:textId="07AC1285" w:rsidR="00BF1153" w:rsidRPr="00DE1BD4" w:rsidRDefault="00BF1153" w:rsidP="008B4D09">
      <w:pPr>
        <w:autoSpaceDE w:val="0"/>
        <w:autoSpaceDN w:val="0"/>
        <w:adjustRightInd w:val="0"/>
        <w:spacing w:after="0" w:line="240" w:lineRule="auto"/>
        <w:rPr>
          <w:rFonts w:asciiTheme="minorHAnsi" w:hAnsiTheme="minorHAnsi" w:cstheme="minorHAnsi"/>
        </w:rPr>
      </w:pPr>
      <w:r w:rsidRPr="00DE1BD4">
        <w:rPr>
          <w:rFonts w:asciiTheme="minorHAnsi" w:hAnsiTheme="minorHAnsi" w:cstheme="minorHAnsi"/>
        </w:rPr>
        <w:t xml:space="preserve">Early </w:t>
      </w:r>
      <w:r w:rsidR="00C976B2" w:rsidRPr="00DE1BD4">
        <w:rPr>
          <w:rFonts w:asciiTheme="minorHAnsi" w:hAnsiTheme="minorHAnsi" w:cstheme="minorHAnsi"/>
        </w:rPr>
        <w:t>W</w:t>
      </w:r>
      <w:r w:rsidRPr="00DE1BD4">
        <w:rPr>
          <w:rFonts w:asciiTheme="minorHAnsi" w:hAnsiTheme="minorHAnsi" w:cstheme="minorHAnsi"/>
        </w:rPr>
        <w:t xml:space="preserve">arning </w:t>
      </w:r>
      <w:r w:rsidR="00C976B2" w:rsidRPr="00DE1BD4">
        <w:rPr>
          <w:rFonts w:asciiTheme="minorHAnsi" w:hAnsiTheme="minorHAnsi" w:cstheme="minorHAnsi"/>
        </w:rPr>
        <w:t>S</w:t>
      </w:r>
      <w:r w:rsidRPr="00DE1BD4">
        <w:rPr>
          <w:rFonts w:asciiTheme="minorHAnsi" w:hAnsiTheme="minorHAnsi" w:cstheme="minorHAnsi"/>
        </w:rPr>
        <w:t xml:space="preserve">ystems </w:t>
      </w:r>
      <w:r w:rsidR="00C976B2" w:rsidRPr="00DE1BD4">
        <w:rPr>
          <w:rFonts w:asciiTheme="minorHAnsi" w:hAnsiTheme="minorHAnsi" w:cstheme="minorHAnsi"/>
        </w:rPr>
        <w:t xml:space="preserve">(EWS) </w:t>
      </w:r>
      <w:r w:rsidRPr="00DE1BD4">
        <w:rPr>
          <w:rFonts w:asciiTheme="minorHAnsi" w:hAnsiTheme="minorHAnsi" w:cstheme="minorHAnsi"/>
        </w:rPr>
        <w:t xml:space="preserve">under the EW4All initiative is a key outcome of this National Emergency Telecommunications Plan (NETP). </w:t>
      </w:r>
      <w:r w:rsidR="00C976B2" w:rsidRPr="00DE1BD4">
        <w:rPr>
          <w:rFonts w:asciiTheme="minorHAnsi" w:hAnsiTheme="minorHAnsi" w:cstheme="minorHAnsi"/>
        </w:rPr>
        <w:t xml:space="preserve">It will be a key implementation activity for the </w:t>
      </w:r>
      <w:proofErr w:type="spellStart"/>
      <w:r w:rsidR="00FE2611">
        <w:rPr>
          <w:rFonts w:asciiTheme="minorHAnsi" w:hAnsiTheme="minorHAnsi" w:cstheme="minorHAnsi"/>
        </w:rPr>
        <w:t>The</w:t>
      </w:r>
      <w:proofErr w:type="spellEnd"/>
      <w:r w:rsidR="00FE2611">
        <w:rPr>
          <w:rFonts w:asciiTheme="minorHAnsi" w:hAnsiTheme="minorHAnsi" w:cstheme="minorHAnsi"/>
        </w:rPr>
        <w:t xml:space="preserve"> Gambia</w:t>
      </w:r>
      <w:r w:rsidR="00C976B2" w:rsidRPr="00DE1BD4">
        <w:rPr>
          <w:rFonts w:asciiTheme="minorHAnsi" w:hAnsiTheme="minorHAnsi" w:cstheme="minorHAnsi"/>
        </w:rPr>
        <w:t xml:space="preserve"> Government going forward, which may lead to further framework changes as the implementation of an EWS </w:t>
      </w:r>
      <w:r w:rsidR="00B0282F" w:rsidRPr="00DE1BD4">
        <w:rPr>
          <w:rFonts w:asciiTheme="minorHAnsi" w:hAnsiTheme="minorHAnsi" w:cstheme="minorHAnsi"/>
        </w:rPr>
        <w:t>is progressed.</w:t>
      </w:r>
    </w:p>
    <w:p w14:paraId="2DD018F7" w14:textId="77777777" w:rsidR="00B36739" w:rsidRPr="00DE1BD4" w:rsidRDefault="00B36739" w:rsidP="00B36739"/>
    <w:p w14:paraId="4F4135C5" w14:textId="0B0C30B1" w:rsidR="00E44630" w:rsidRPr="00DE1BD4" w:rsidRDefault="00D51FF2" w:rsidP="00D51FF2">
      <w:pPr>
        <w:pStyle w:val="Caption"/>
        <w:jc w:val="center"/>
      </w:pPr>
      <w:bookmarkStart w:id="79" w:name="_Ref168471973"/>
      <w:bookmarkStart w:id="80" w:name="_Toc181885864"/>
      <w:r w:rsidRPr="00DE1BD4">
        <w:t xml:space="preserve">Figure </w:t>
      </w:r>
      <w:r w:rsidRPr="00DE1BD4">
        <w:fldChar w:fldCharType="begin"/>
      </w:r>
      <w:r w:rsidRPr="00DE1BD4">
        <w:instrText xml:space="preserve"> SEQ Figure \* ARABIC </w:instrText>
      </w:r>
      <w:r w:rsidRPr="00DE1BD4">
        <w:fldChar w:fldCharType="separate"/>
      </w:r>
      <w:r w:rsidR="003F405A">
        <w:rPr>
          <w:noProof/>
        </w:rPr>
        <w:t>2</w:t>
      </w:r>
      <w:r w:rsidRPr="00DE1BD4">
        <w:fldChar w:fldCharType="end"/>
      </w:r>
      <w:bookmarkEnd w:id="79"/>
      <w:r w:rsidRPr="00DE1BD4">
        <w:t xml:space="preserve"> - Pillars of the EW4ALL Initiative</w:t>
      </w:r>
      <w:bookmarkEnd w:id="80"/>
    </w:p>
    <w:p w14:paraId="0FA44CEF" w14:textId="29697F31" w:rsidR="00F205FD" w:rsidRPr="00DE1BD4" w:rsidRDefault="00E44630" w:rsidP="00F205FD">
      <w:r w:rsidRPr="00DE1BD4">
        <w:rPr>
          <w:noProof/>
        </w:rPr>
        <w:drawing>
          <wp:inline distT="0" distB="0" distL="0" distR="0" wp14:anchorId="03CF6708" wp14:editId="4FAEA320">
            <wp:extent cx="5822315" cy="2621280"/>
            <wp:effectExtent l="0" t="0" r="6985" b="7620"/>
            <wp:docPr id="1858613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315" cy="2621280"/>
                    </a:xfrm>
                    <a:prstGeom prst="rect">
                      <a:avLst/>
                    </a:prstGeom>
                    <a:noFill/>
                  </pic:spPr>
                </pic:pic>
              </a:graphicData>
            </a:graphic>
          </wp:inline>
        </w:drawing>
      </w:r>
    </w:p>
    <w:p w14:paraId="15DFE927" w14:textId="77777777" w:rsidR="008B4D09" w:rsidRPr="00DE1BD4" w:rsidRDefault="008B4D09" w:rsidP="008B4D09">
      <w:pPr>
        <w:rPr>
          <w:rFonts w:cstheme="minorHAnsi"/>
        </w:rPr>
      </w:pPr>
      <w:r w:rsidRPr="00DE1BD4">
        <w:rPr>
          <w:rFonts w:cstheme="minorHAnsi"/>
        </w:rPr>
        <w:t>The first pillar focuses on enhancing global risk knowledge and integrating it into inclusive, accessible, and effective early warning systems. This is relevant considering that significant gaps in terms of risk information and assessments persist worldwide, as less than half of the countries with existing Early Warning Systems (EWS) have access to appropriate disaster risk information, and even fewer have national legislation and regulatory frameworks for emergency response. To address this, the Executive Action Plan proposes activities that include the following</w:t>
      </w:r>
      <w:r w:rsidRPr="00DE1BD4">
        <w:rPr>
          <w:rStyle w:val="FootnoteReference"/>
          <w:rFonts w:cstheme="minorHAnsi"/>
        </w:rPr>
        <w:t xml:space="preserve"> </w:t>
      </w:r>
      <w:r w:rsidRPr="0045782B">
        <w:rPr>
          <w:rStyle w:val="FootnoteReference"/>
        </w:rPr>
        <w:footnoteReference w:id="9"/>
      </w:r>
    </w:p>
    <w:p w14:paraId="4A004194" w14:textId="77777777" w:rsidR="008B4D09" w:rsidRPr="00DE1BD4" w:rsidRDefault="008B4D09" w:rsidP="00963CF3">
      <w:pPr>
        <w:pStyle w:val="selectionshareable"/>
        <w:numPr>
          <w:ilvl w:val="0"/>
          <w:numId w:val="38"/>
        </w:numPr>
        <w:jc w:val="both"/>
        <w:rPr>
          <w:rFonts w:asciiTheme="minorHAnsi" w:hAnsiTheme="minorHAnsi" w:cstheme="minorHAnsi"/>
          <w:sz w:val="22"/>
          <w:szCs w:val="22"/>
        </w:rPr>
      </w:pPr>
      <w:r w:rsidRPr="00DE1BD4">
        <w:rPr>
          <w:rFonts w:asciiTheme="minorHAnsi" w:hAnsiTheme="minorHAnsi" w:cstheme="minorHAnsi"/>
          <w:sz w:val="22"/>
          <w:szCs w:val="22"/>
        </w:rPr>
        <w:t>Significantly strengthens the ability of countries to produce national, sub/national, and local risk information, integrating existing community knowledge, to a defined minimum capability (vulnerability, exposure, hazard).</w:t>
      </w:r>
    </w:p>
    <w:p w14:paraId="06E09E64" w14:textId="77777777" w:rsidR="008B4D09" w:rsidRPr="00DE1BD4" w:rsidRDefault="008B4D09" w:rsidP="00963CF3">
      <w:pPr>
        <w:pStyle w:val="selectionshareable"/>
        <w:numPr>
          <w:ilvl w:val="0"/>
          <w:numId w:val="38"/>
        </w:numPr>
        <w:jc w:val="both"/>
        <w:rPr>
          <w:rFonts w:asciiTheme="minorHAnsi" w:hAnsiTheme="minorHAnsi" w:cstheme="minorHAnsi"/>
          <w:sz w:val="22"/>
          <w:szCs w:val="22"/>
        </w:rPr>
      </w:pPr>
      <w:r w:rsidRPr="00DE1BD4">
        <w:rPr>
          <w:rFonts w:asciiTheme="minorHAnsi" w:hAnsiTheme="minorHAnsi" w:cstheme="minorHAnsi"/>
          <w:sz w:val="22"/>
          <w:szCs w:val="22"/>
        </w:rPr>
        <w:t>Ensure that countries have access to open and relevant risk data, metrics, and analysis to support decision-making.</w:t>
      </w:r>
    </w:p>
    <w:p w14:paraId="72290AB6" w14:textId="77777777" w:rsidR="008B4D09" w:rsidRPr="00DE1BD4" w:rsidRDefault="008B4D09" w:rsidP="00963CF3">
      <w:pPr>
        <w:pStyle w:val="selectionshareable"/>
        <w:numPr>
          <w:ilvl w:val="0"/>
          <w:numId w:val="38"/>
        </w:numPr>
        <w:jc w:val="both"/>
        <w:rPr>
          <w:rFonts w:asciiTheme="minorHAnsi" w:hAnsiTheme="minorHAnsi" w:cstheme="minorHAnsi"/>
          <w:sz w:val="22"/>
          <w:szCs w:val="22"/>
        </w:rPr>
      </w:pPr>
      <w:r w:rsidRPr="00DE1BD4">
        <w:rPr>
          <w:rFonts w:asciiTheme="minorHAnsi" w:hAnsiTheme="minorHAnsi" w:cstheme="minorHAnsi"/>
          <w:sz w:val="22"/>
          <w:szCs w:val="22"/>
        </w:rPr>
        <w:t>Develop institutional capacity to incorporate risk knowledge into early warning systems.</w:t>
      </w:r>
    </w:p>
    <w:p w14:paraId="5B9D337F" w14:textId="77777777" w:rsidR="008B4D09" w:rsidRPr="00DE1BD4" w:rsidRDefault="008B4D09" w:rsidP="00963CF3">
      <w:pPr>
        <w:pStyle w:val="selectionshareable"/>
        <w:numPr>
          <w:ilvl w:val="0"/>
          <w:numId w:val="38"/>
        </w:numPr>
        <w:jc w:val="both"/>
        <w:rPr>
          <w:rFonts w:asciiTheme="minorHAnsi" w:hAnsiTheme="minorHAnsi" w:cstheme="minorHAnsi"/>
          <w:sz w:val="22"/>
          <w:szCs w:val="22"/>
          <w:shd w:val="clear" w:color="auto" w:fill="FFFFFF"/>
        </w:rPr>
      </w:pPr>
      <w:r w:rsidRPr="00DE1BD4">
        <w:rPr>
          <w:rFonts w:asciiTheme="minorHAnsi" w:hAnsiTheme="minorHAnsi" w:cstheme="minorHAnsi"/>
          <w:sz w:val="22"/>
          <w:szCs w:val="22"/>
        </w:rPr>
        <w:t>Define roles/responsibilities and, in general, strengthen the collaboration between key Ministries, academia, the private sector and vulnerable communities to generate improved risk information.</w:t>
      </w:r>
    </w:p>
    <w:p w14:paraId="7A0CB909" w14:textId="375B11C5" w:rsidR="008B4D09" w:rsidRPr="00DE1BD4" w:rsidRDefault="008B4D09" w:rsidP="00963CF3">
      <w:pPr>
        <w:pStyle w:val="selectionshareable"/>
        <w:numPr>
          <w:ilvl w:val="0"/>
          <w:numId w:val="38"/>
        </w:numPr>
        <w:jc w:val="both"/>
        <w:rPr>
          <w:rFonts w:asciiTheme="minorHAnsi" w:hAnsiTheme="minorHAnsi" w:cstheme="minorHAnsi"/>
          <w:sz w:val="22"/>
          <w:szCs w:val="22"/>
          <w:shd w:val="clear" w:color="auto" w:fill="FFFFFF"/>
        </w:rPr>
      </w:pPr>
      <w:r w:rsidRPr="00DE1BD4">
        <w:rPr>
          <w:rFonts w:asciiTheme="minorHAnsi" w:hAnsiTheme="minorHAnsi" w:cstheme="minorHAnsi"/>
          <w:sz w:val="22"/>
          <w:szCs w:val="22"/>
          <w:lang w:eastAsia="es-CO"/>
        </w:rPr>
        <w:t xml:space="preserve">Ensure that all risk knowledge capability is locally led, where possible, people </w:t>
      </w:r>
      <w:r w:rsidR="00020ADD" w:rsidRPr="00DE1BD4">
        <w:rPr>
          <w:rFonts w:asciiTheme="minorHAnsi" w:hAnsiTheme="minorHAnsi" w:cstheme="minorHAnsi"/>
          <w:sz w:val="22"/>
          <w:szCs w:val="22"/>
          <w:lang w:eastAsia="es-CO"/>
        </w:rPr>
        <w:t>centred</w:t>
      </w:r>
      <w:r w:rsidRPr="00DE1BD4">
        <w:rPr>
          <w:rFonts w:asciiTheme="minorHAnsi" w:hAnsiTheme="minorHAnsi" w:cstheme="minorHAnsi"/>
          <w:sz w:val="22"/>
          <w:szCs w:val="22"/>
          <w:lang w:eastAsia="es-CO"/>
        </w:rPr>
        <w:t xml:space="preserve"> and strengthened </w:t>
      </w:r>
      <w:r w:rsidRPr="00DE1BD4">
        <w:rPr>
          <w:rFonts w:asciiTheme="minorHAnsi" w:hAnsiTheme="minorHAnsi" w:cstheme="minorHAnsi"/>
          <w:sz w:val="22"/>
          <w:szCs w:val="22"/>
        </w:rPr>
        <w:t>through an increased use of science.</w:t>
      </w:r>
    </w:p>
    <w:p w14:paraId="0828FF4D" w14:textId="302F0D1B" w:rsidR="00BD0F93" w:rsidRPr="00DE1BD4" w:rsidRDefault="00BD0F93" w:rsidP="00BD0F93">
      <w:pPr>
        <w:rPr>
          <w:rFonts w:asciiTheme="minorHAnsi" w:eastAsiaTheme="minorHAnsi" w:hAnsiTheme="minorHAnsi" w:cstheme="minorHAnsi"/>
          <w:shd w:val="clear" w:color="auto" w:fill="FFFFFF"/>
          <w:lang w:eastAsia="en-US"/>
        </w:rPr>
      </w:pPr>
      <w:r w:rsidRPr="00DE1BD4">
        <w:rPr>
          <w:rFonts w:cstheme="minorHAnsi"/>
          <w:shd w:val="clear" w:color="auto" w:fill="FFFFFF"/>
        </w:rPr>
        <w:t>For the second pillar (</w:t>
      </w:r>
      <w:r w:rsidRPr="00DE1BD4">
        <w:t>Observation and Forecasting for Early Warnings)</w:t>
      </w:r>
      <w:r w:rsidRPr="00DE1BD4">
        <w:rPr>
          <w:rFonts w:cstheme="minorHAnsi"/>
          <w:shd w:val="clear" w:color="auto" w:fill="FFFFFF"/>
        </w:rPr>
        <w:t xml:space="preserve">, the Action Plan </w:t>
      </w:r>
      <w:r w:rsidR="00020ADD" w:rsidRPr="00DE1BD4">
        <w:rPr>
          <w:rFonts w:cstheme="minorHAnsi"/>
          <w:shd w:val="clear" w:color="auto" w:fill="FFFFFF"/>
        </w:rPr>
        <w:t>centres</w:t>
      </w:r>
      <w:r w:rsidRPr="00DE1BD4">
        <w:rPr>
          <w:rFonts w:cstheme="minorHAnsi"/>
          <w:shd w:val="clear" w:color="auto" w:fill="FFFFFF"/>
        </w:rPr>
        <w:t xml:space="preserve"> in five key action areas, which are</w:t>
      </w:r>
      <w:r w:rsidRPr="0045782B">
        <w:rPr>
          <w:rStyle w:val="FootnoteReference"/>
        </w:rPr>
        <w:footnoteReference w:id="10"/>
      </w:r>
      <w:r w:rsidR="006518B6" w:rsidRPr="00DE1BD4">
        <w:rPr>
          <w:rFonts w:cstheme="minorHAnsi"/>
          <w:shd w:val="clear" w:color="auto" w:fill="FFFFFF"/>
        </w:rPr>
        <w:t>:</w:t>
      </w:r>
    </w:p>
    <w:p w14:paraId="27D6E313" w14:textId="55B50B65" w:rsidR="00BD0F93" w:rsidRPr="00DE1BD4" w:rsidRDefault="00BD0F93" w:rsidP="00963CF3">
      <w:pPr>
        <w:pStyle w:val="ListParagraph"/>
        <w:numPr>
          <w:ilvl w:val="0"/>
          <w:numId w:val="39"/>
        </w:numPr>
        <w:rPr>
          <w:rFonts w:cstheme="minorHAnsi"/>
        </w:rPr>
      </w:pPr>
      <w:r w:rsidRPr="00DE1BD4">
        <w:rPr>
          <w:rFonts w:cstheme="minorHAnsi"/>
        </w:rPr>
        <w:t>Enhancing capacity to detect hazards: The Action Plan proposes to conduct gap analyses on early warning needs, expand the cataloguing of hazardous events, an enhance the timely access to, and use of satellite observations and of advanced technologies to build up detection and forecasting capabilities.</w:t>
      </w:r>
    </w:p>
    <w:p w14:paraId="79D208EB" w14:textId="2CDF75D7" w:rsidR="00BD0F93" w:rsidRPr="00DE1BD4" w:rsidRDefault="00BD0F93" w:rsidP="00963CF3">
      <w:pPr>
        <w:pStyle w:val="ListParagraph"/>
        <w:numPr>
          <w:ilvl w:val="0"/>
          <w:numId w:val="39"/>
        </w:numPr>
        <w:autoSpaceDE w:val="0"/>
        <w:autoSpaceDN w:val="0"/>
        <w:adjustRightInd w:val="0"/>
        <w:spacing w:after="0"/>
        <w:rPr>
          <w:rFonts w:cstheme="minorHAnsi"/>
        </w:rPr>
      </w:pPr>
      <w:r w:rsidRPr="00DE1BD4">
        <w:rPr>
          <w:rFonts w:cstheme="minorHAnsi"/>
        </w:rPr>
        <w:t>Close the observing gaps to meet the data needs for monitoring hazards, including actions such as establishing and implementing the Global Basic Observing Network to deliver timely data to global weather prediction systems, and accelerating the implementation of the WMO Action plan for hydrology, including establishing regional hydrological status systems (</w:t>
      </w:r>
      <w:proofErr w:type="spellStart"/>
      <w:r w:rsidRPr="00DE1BD4">
        <w:rPr>
          <w:rFonts w:cstheme="minorHAnsi"/>
        </w:rPr>
        <w:t>HydroSOS</w:t>
      </w:r>
      <w:proofErr w:type="spellEnd"/>
      <w:r w:rsidRPr="00DE1BD4">
        <w:rPr>
          <w:rFonts w:cstheme="minorHAnsi"/>
        </w:rPr>
        <w:t>).</w:t>
      </w:r>
    </w:p>
    <w:p w14:paraId="12ED4381" w14:textId="6CB29F5D" w:rsidR="00BD0F93" w:rsidRPr="00DE1BD4" w:rsidRDefault="00BD0F93" w:rsidP="00963CF3">
      <w:pPr>
        <w:pStyle w:val="ListParagraph"/>
        <w:numPr>
          <w:ilvl w:val="0"/>
          <w:numId w:val="39"/>
        </w:numPr>
        <w:autoSpaceDE w:val="0"/>
        <w:autoSpaceDN w:val="0"/>
        <w:adjustRightInd w:val="0"/>
        <w:spacing w:after="0"/>
        <w:rPr>
          <w:rFonts w:cstheme="minorHAnsi"/>
        </w:rPr>
      </w:pPr>
      <w:r w:rsidRPr="00DE1BD4">
        <w:rPr>
          <w:rFonts w:cstheme="minorHAnsi"/>
        </w:rPr>
        <w:t>Enhance the existing framework and the capabilities of global data processing, forecasting, and</w:t>
      </w:r>
      <w:r w:rsidR="006518B6" w:rsidRPr="00DE1BD4">
        <w:rPr>
          <w:rFonts w:cstheme="minorHAnsi"/>
        </w:rPr>
        <w:t xml:space="preserve"> </w:t>
      </w:r>
      <w:r w:rsidRPr="00DE1BD4">
        <w:rPr>
          <w:rFonts w:cstheme="minorHAnsi"/>
        </w:rPr>
        <w:t xml:space="preserve">analysis systems: this includes the expansion of the network of Regional Specialized Hydro-Meteorological </w:t>
      </w:r>
      <w:r w:rsidR="00CE2F11" w:rsidRPr="00DE1BD4">
        <w:rPr>
          <w:rFonts w:cstheme="minorHAnsi"/>
        </w:rPr>
        <w:t>Centres</w:t>
      </w:r>
      <w:r w:rsidRPr="00DE1BD4">
        <w:rPr>
          <w:rFonts w:cstheme="minorHAnsi"/>
        </w:rPr>
        <w:t xml:space="preserve"> and the associated National Hydro-Meteorological </w:t>
      </w:r>
      <w:r w:rsidR="00CE2F11" w:rsidRPr="00DE1BD4">
        <w:rPr>
          <w:rFonts w:cstheme="minorHAnsi"/>
        </w:rPr>
        <w:t>Centres</w:t>
      </w:r>
      <w:r w:rsidRPr="00DE1BD4">
        <w:rPr>
          <w:rFonts w:cstheme="minorHAnsi"/>
        </w:rPr>
        <w:t xml:space="preserve"> to meet region specific needs.</w:t>
      </w:r>
    </w:p>
    <w:p w14:paraId="33435932" w14:textId="59CDF2FA" w:rsidR="00BD0F93" w:rsidRPr="00DE1BD4" w:rsidRDefault="00BD0F93" w:rsidP="00963CF3">
      <w:pPr>
        <w:pStyle w:val="ListParagraph"/>
        <w:numPr>
          <w:ilvl w:val="0"/>
          <w:numId w:val="39"/>
        </w:numPr>
        <w:rPr>
          <w:rFonts w:cstheme="minorHAnsi"/>
        </w:rPr>
      </w:pPr>
      <w:r w:rsidRPr="00DE1BD4">
        <w:rPr>
          <w:rFonts w:cstheme="minorHAnsi"/>
        </w:rPr>
        <w:t>Sustainable data and Information exchange infrastructure to support EWS: Considers actions like accelerating the implementation of the WMO Information System 2.0 (WIS 2.0) to enable timely and sustained data access and develop technical capabilities.</w:t>
      </w:r>
    </w:p>
    <w:p w14:paraId="5578B826" w14:textId="6F874128" w:rsidR="00BD0F93" w:rsidRPr="00DE1BD4" w:rsidRDefault="00BD0F93" w:rsidP="00963CF3">
      <w:pPr>
        <w:pStyle w:val="ListParagraph"/>
        <w:numPr>
          <w:ilvl w:val="0"/>
          <w:numId w:val="39"/>
        </w:numPr>
        <w:autoSpaceDE w:val="0"/>
        <w:autoSpaceDN w:val="0"/>
        <w:adjustRightInd w:val="0"/>
        <w:spacing w:after="0"/>
        <w:rPr>
          <w:rFonts w:cstheme="minorHAnsi"/>
        </w:rPr>
      </w:pPr>
      <w:r w:rsidRPr="00DE1BD4">
        <w:rPr>
          <w:rFonts w:cstheme="minorHAnsi"/>
        </w:rPr>
        <w:t>Optimize international efforts on observation, monitoring, and forecasting in support of EWS, as</w:t>
      </w:r>
      <w:r w:rsidR="006518B6" w:rsidRPr="00DE1BD4">
        <w:rPr>
          <w:rFonts w:cstheme="minorHAnsi"/>
        </w:rPr>
        <w:t xml:space="preserve"> </w:t>
      </w:r>
      <w:r w:rsidRPr="00DE1BD4">
        <w:rPr>
          <w:rFonts w:cstheme="minorHAnsi"/>
        </w:rPr>
        <w:t>fostered by, for example, UNDP, UNEP and UNESCO, and upscale successful regional initiatives on sharing data and forecasting products.</w:t>
      </w:r>
    </w:p>
    <w:p w14:paraId="133D5FAD" w14:textId="77777777" w:rsidR="00BD0F93" w:rsidRPr="00DE1BD4" w:rsidRDefault="00BD0F93" w:rsidP="00BD0F93">
      <w:pPr>
        <w:rPr>
          <w:rFonts w:ascii="UniversLTCYR-65Bold" w:hAnsi="UniversLTCYR-65Bold" w:cs="UniversLTCYR-65Bold"/>
          <w:b/>
          <w:bCs/>
          <w:sz w:val="16"/>
          <w:szCs w:val="16"/>
        </w:rPr>
      </w:pPr>
    </w:p>
    <w:p w14:paraId="348C2978" w14:textId="733A3DB5" w:rsidR="00BD0F93" w:rsidRPr="00DE1BD4" w:rsidRDefault="00BD0F93" w:rsidP="00BD0F93">
      <w:pPr>
        <w:rPr>
          <w:rFonts w:asciiTheme="minorHAnsi" w:hAnsiTheme="minorHAnsi" w:cstheme="minorHAnsi"/>
        </w:rPr>
      </w:pPr>
      <w:r w:rsidRPr="00DE1BD4">
        <w:rPr>
          <w:rFonts w:cstheme="minorHAnsi"/>
        </w:rPr>
        <w:t xml:space="preserve">Pillar 3 of the EW4All initiative (Warning Dissemination and Communication) is led by the ITU with </w:t>
      </w:r>
      <w:r w:rsidR="00A30E09" w:rsidRPr="00DE1BD4">
        <w:rPr>
          <w:rFonts w:cstheme="minorHAnsi"/>
        </w:rPr>
        <w:t>support</w:t>
      </w:r>
      <w:r w:rsidRPr="00DE1BD4">
        <w:rPr>
          <w:rFonts w:cstheme="minorHAnsi"/>
        </w:rPr>
        <w:t xml:space="preserve"> from IFRC, Risk-informed Early Action Partnership (REAP), UNDP, and WMO. It focuses on ensuring that an identified risk and alert can reach those people at risk, including that the alert message is communicated and formulated in a way that those who receive it can understand and act on the alert, using a standardized and consistent format such as Common Alerting Protocol (CAP).</w:t>
      </w:r>
    </w:p>
    <w:p w14:paraId="01A14F7C" w14:textId="6215FB4E" w:rsidR="00E96CB7" w:rsidRPr="00DE1BD4" w:rsidRDefault="00BD0F93" w:rsidP="00E96CB7">
      <w:pPr>
        <w:rPr>
          <w:rFonts w:cstheme="minorHAnsi"/>
        </w:rPr>
      </w:pPr>
      <w:r w:rsidRPr="00DE1BD4">
        <w:rPr>
          <w:rFonts w:cstheme="minorHAnsi"/>
        </w:rPr>
        <w:t xml:space="preserve">In this third pillar, ITU highlights the use of multichannel dissemination alerting (including radio, TV, sirens, Internet, social media, etc.) and the opportunities that the spread of ICTs provide in reaching more people (i.e. increased mobile broadband networks and ownership of mobile </w:t>
      </w:r>
      <w:bookmarkStart w:id="81" w:name="m_3125585332365304343__ftnref3"/>
      <w:r w:rsidRPr="00DE1BD4">
        <w:rPr>
          <w:rFonts w:cstheme="minorHAnsi"/>
        </w:rPr>
        <w:t>d</w:t>
      </w:r>
      <w:bookmarkEnd w:id="81"/>
      <w:r w:rsidRPr="00DE1BD4">
        <w:rPr>
          <w:rFonts w:cstheme="minorHAnsi"/>
        </w:rPr>
        <w:t xml:space="preserve">evices). One key advantage of disseminating alerts through mobile networks is that these networks are geo-located, so warnings can reach only those users located in a specific risk zone. Also, this communication technology (called cell-broadcast, and often complimented with location-based SMS) allows for warnings adapted to specific user requirements, such as a certain language, among other possibilities (See </w:t>
      </w:r>
      <w:r w:rsidR="00860507">
        <w:rPr>
          <w:rFonts w:cstheme="minorHAnsi"/>
        </w:rPr>
        <w:t xml:space="preserve">Section </w:t>
      </w:r>
      <w:r w:rsidR="00860507">
        <w:rPr>
          <w:rFonts w:cstheme="minorHAnsi"/>
        </w:rPr>
        <w:fldChar w:fldCharType="begin"/>
      </w:r>
      <w:r w:rsidR="00860507">
        <w:rPr>
          <w:rFonts w:cstheme="minorHAnsi"/>
        </w:rPr>
        <w:instrText xml:space="preserve"> REF _Ref174779723 \r \h </w:instrText>
      </w:r>
      <w:r w:rsidR="00860507">
        <w:rPr>
          <w:rFonts w:cstheme="minorHAnsi"/>
        </w:rPr>
      </w:r>
      <w:r w:rsidR="00860507">
        <w:rPr>
          <w:rFonts w:cstheme="minorHAnsi"/>
        </w:rPr>
        <w:fldChar w:fldCharType="separate"/>
      </w:r>
      <w:r w:rsidR="00860507">
        <w:rPr>
          <w:rFonts w:cstheme="minorHAnsi"/>
        </w:rPr>
        <w:t>10.1.3.1</w:t>
      </w:r>
      <w:r w:rsidR="00860507">
        <w:rPr>
          <w:rFonts w:cstheme="minorHAnsi"/>
        </w:rPr>
        <w:fldChar w:fldCharType="end"/>
      </w:r>
      <w:r w:rsidR="00860507">
        <w:rPr>
          <w:rFonts w:cstheme="minorHAnsi"/>
        </w:rPr>
        <w:t xml:space="preserve"> </w:t>
      </w:r>
      <w:r w:rsidR="00AF7565" w:rsidRPr="00DE1BD4">
        <w:rPr>
          <w:rFonts w:cstheme="minorHAnsi"/>
        </w:rPr>
        <w:t>Location Based SMS (LB-SMS</w:t>
      </w:r>
      <w:r w:rsidR="00860507">
        <w:rPr>
          <w:rFonts w:cstheme="minorHAnsi"/>
        </w:rPr>
        <w:t xml:space="preserve">) and Section </w:t>
      </w:r>
      <w:r w:rsidR="00860507">
        <w:rPr>
          <w:rFonts w:cstheme="minorHAnsi"/>
        </w:rPr>
        <w:fldChar w:fldCharType="begin"/>
      </w:r>
      <w:r w:rsidR="00860507">
        <w:rPr>
          <w:rFonts w:cstheme="minorHAnsi"/>
        </w:rPr>
        <w:instrText xml:space="preserve"> REF _Ref174779762 \r \h </w:instrText>
      </w:r>
      <w:r w:rsidR="00860507">
        <w:rPr>
          <w:rFonts w:cstheme="minorHAnsi"/>
        </w:rPr>
      </w:r>
      <w:r w:rsidR="00860507">
        <w:rPr>
          <w:rFonts w:cstheme="minorHAnsi"/>
        </w:rPr>
        <w:fldChar w:fldCharType="separate"/>
      </w:r>
      <w:r w:rsidR="00860507">
        <w:rPr>
          <w:rFonts w:cstheme="minorHAnsi"/>
        </w:rPr>
        <w:t>10.1.3.2</w:t>
      </w:r>
      <w:r w:rsidR="00860507">
        <w:rPr>
          <w:rFonts w:cstheme="minorHAnsi"/>
        </w:rPr>
        <w:fldChar w:fldCharType="end"/>
      </w:r>
      <w:r w:rsidR="00AF7565" w:rsidRPr="00DE1BD4">
        <w:rPr>
          <w:rFonts w:cstheme="minorHAnsi"/>
        </w:rPr>
        <w:t xml:space="preserve"> </w:t>
      </w:r>
      <w:r w:rsidRPr="00DE1BD4">
        <w:rPr>
          <w:rFonts w:cstheme="minorHAnsi"/>
        </w:rPr>
        <w:t>Cell Broadcast (CB)).</w:t>
      </w:r>
    </w:p>
    <w:p w14:paraId="3E26F08C" w14:textId="44EE72F1" w:rsidR="000758A7" w:rsidRPr="00DE1BD4" w:rsidRDefault="000758A7" w:rsidP="00E96CB7">
      <w:pPr>
        <w:rPr>
          <w:rFonts w:cstheme="minorHAnsi"/>
        </w:rPr>
      </w:pPr>
      <w:r w:rsidRPr="00DE1BD4">
        <w:rPr>
          <w:rFonts w:cstheme="minorHAnsi"/>
        </w:rPr>
        <w:t>ITU has also highlighted that the pillar will focus on promoting a regulatory approach, based on the model adopted by several countries including the EU, which has mandated the use of geo-located alerts using mobile networks, and engaging the mobile network operators to implement mobile EWS systems.</w:t>
      </w:r>
    </w:p>
    <w:p w14:paraId="76E70F69" w14:textId="77777777" w:rsidR="000758A7" w:rsidRPr="00DE1BD4" w:rsidRDefault="000758A7" w:rsidP="000758A7">
      <w:pPr>
        <w:rPr>
          <w:rFonts w:cstheme="minorHAnsi"/>
          <w:shd w:val="clear" w:color="auto" w:fill="FFFFFF"/>
        </w:rPr>
      </w:pPr>
      <w:r w:rsidRPr="00DE1BD4">
        <w:rPr>
          <w:rFonts w:cstheme="minorHAnsi"/>
          <w:shd w:val="clear" w:color="auto" w:fill="FFFFFF"/>
        </w:rPr>
        <w:t>According to the EW4All Executive Action Plan, expected outcomes for the third pillar include:</w:t>
      </w:r>
      <w:r w:rsidRPr="0045782B">
        <w:rPr>
          <w:rStyle w:val="FootnoteReference"/>
        </w:rPr>
        <w:footnoteReference w:id="11"/>
      </w:r>
    </w:p>
    <w:p w14:paraId="19472635" w14:textId="77777777" w:rsidR="000758A7" w:rsidRPr="00DE1BD4" w:rsidRDefault="000758A7" w:rsidP="00963CF3">
      <w:pPr>
        <w:pStyle w:val="ListParagraph"/>
        <w:numPr>
          <w:ilvl w:val="0"/>
          <w:numId w:val="40"/>
        </w:numPr>
        <w:autoSpaceDE w:val="0"/>
        <w:autoSpaceDN w:val="0"/>
        <w:adjustRightInd w:val="0"/>
        <w:spacing w:after="0" w:line="240" w:lineRule="auto"/>
        <w:rPr>
          <w:rFonts w:cstheme="minorHAnsi"/>
          <w:shd w:val="clear" w:color="auto" w:fill="FFFFFF"/>
        </w:rPr>
      </w:pPr>
      <w:r w:rsidRPr="00DE1BD4">
        <w:rPr>
          <w:rFonts w:cstheme="minorHAnsi"/>
          <w:shd w:val="clear" w:color="auto" w:fill="FFFFFF"/>
        </w:rPr>
        <w:t>Define functions, roles, and responsibilities for each actor in the warning dissemination process through government policy.</w:t>
      </w:r>
    </w:p>
    <w:p w14:paraId="59918ADB" w14:textId="77777777" w:rsidR="000758A7" w:rsidRPr="00DE1BD4" w:rsidRDefault="000758A7" w:rsidP="00963CF3">
      <w:pPr>
        <w:pStyle w:val="ListParagraph"/>
        <w:numPr>
          <w:ilvl w:val="0"/>
          <w:numId w:val="40"/>
        </w:numPr>
        <w:autoSpaceDE w:val="0"/>
        <w:autoSpaceDN w:val="0"/>
        <w:adjustRightInd w:val="0"/>
        <w:spacing w:after="0" w:line="240" w:lineRule="auto"/>
        <w:rPr>
          <w:rFonts w:cstheme="minorHAnsi"/>
          <w:shd w:val="clear" w:color="auto" w:fill="FFFFFF"/>
        </w:rPr>
      </w:pPr>
      <w:r w:rsidRPr="00DE1BD4">
        <w:rPr>
          <w:rFonts w:cstheme="minorHAnsi"/>
          <w:shd w:val="clear" w:color="auto" w:fill="FFFFFF"/>
        </w:rPr>
        <w:t>Ensure that warnings reach those at risk by using multichannel dissemination and communication alerting.</w:t>
      </w:r>
    </w:p>
    <w:p w14:paraId="3F88D7F6" w14:textId="77777777" w:rsidR="000758A7" w:rsidRPr="00DE1BD4" w:rsidRDefault="000758A7" w:rsidP="00963CF3">
      <w:pPr>
        <w:pStyle w:val="ListParagraph"/>
        <w:numPr>
          <w:ilvl w:val="0"/>
          <w:numId w:val="40"/>
        </w:numPr>
        <w:autoSpaceDE w:val="0"/>
        <w:autoSpaceDN w:val="0"/>
        <w:adjustRightInd w:val="0"/>
        <w:spacing w:after="0" w:line="240" w:lineRule="auto"/>
        <w:rPr>
          <w:rFonts w:cstheme="minorHAnsi"/>
          <w:shd w:val="clear" w:color="auto" w:fill="FFFFFF"/>
        </w:rPr>
      </w:pPr>
      <w:r w:rsidRPr="00DE1BD4">
        <w:rPr>
          <w:rFonts w:cstheme="minorHAnsi"/>
          <w:shd w:val="clear" w:color="auto" w:fill="FFFFFF"/>
        </w:rPr>
        <w:t>Strengthened and expanded alert dissemination and feedback channels reaching all people with actionable information.</w:t>
      </w:r>
    </w:p>
    <w:p w14:paraId="7FD1E17D" w14:textId="77777777" w:rsidR="000758A7" w:rsidRPr="00DE1BD4" w:rsidRDefault="000758A7" w:rsidP="00963CF3">
      <w:pPr>
        <w:pStyle w:val="ListParagraph"/>
        <w:numPr>
          <w:ilvl w:val="0"/>
          <w:numId w:val="40"/>
        </w:numPr>
        <w:autoSpaceDE w:val="0"/>
        <w:autoSpaceDN w:val="0"/>
        <w:adjustRightInd w:val="0"/>
        <w:spacing w:after="0" w:line="240" w:lineRule="auto"/>
        <w:rPr>
          <w:rFonts w:cstheme="minorHAnsi"/>
          <w:shd w:val="clear" w:color="auto" w:fill="FFFFFF"/>
        </w:rPr>
      </w:pPr>
      <w:r w:rsidRPr="00DE1BD4">
        <w:rPr>
          <w:rFonts w:cstheme="minorHAnsi"/>
          <w:shd w:val="clear" w:color="auto" w:fill="FFFFFF"/>
        </w:rPr>
        <w:t>Ensure the capability for effective, authoritative emergency alerting that leverages the Common Alerting Protocol (CAP), suitable for all media and all hazards.</w:t>
      </w:r>
    </w:p>
    <w:p w14:paraId="31C4728B" w14:textId="77777777" w:rsidR="000758A7" w:rsidRPr="00DE1BD4" w:rsidRDefault="000758A7" w:rsidP="000758A7">
      <w:pPr>
        <w:autoSpaceDE w:val="0"/>
        <w:autoSpaceDN w:val="0"/>
        <w:adjustRightInd w:val="0"/>
        <w:spacing w:after="0"/>
        <w:rPr>
          <w:rFonts w:ascii="OpenSans-Regular" w:hAnsi="OpenSans-Regular" w:cs="OpenSans-Regular"/>
          <w:sz w:val="18"/>
          <w:szCs w:val="18"/>
        </w:rPr>
      </w:pPr>
    </w:p>
    <w:p w14:paraId="586B1B55" w14:textId="77777777" w:rsidR="000758A7" w:rsidRPr="00DE1BD4" w:rsidRDefault="000758A7" w:rsidP="000758A7">
      <w:pPr>
        <w:autoSpaceDE w:val="0"/>
        <w:autoSpaceDN w:val="0"/>
        <w:adjustRightInd w:val="0"/>
        <w:spacing w:after="0"/>
        <w:rPr>
          <w:rFonts w:asciiTheme="minorHAnsi" w:hAnsiTheme="minorHAnsi" w:cstheme="minorHAnsi"/>
        </w:rPr>
      </w:pPr>
      <w:r w:rsidRPr="00DE1BD4">
        <w:rPr>
          <w:rFonts w:cstheme="minorHAnsi"/>
          <w:color w:val="222222"/>
          <w:shd w:val="clear" w:color="auto" w:fill="FFFFFF"/>
        </w:rPr>
        <w:t xml:space="preserve">Finally, the fourth pillar relates to preparedness to respond, and focuses on the different actions to be taken to ensure that early warnings result in reduced losses and harm. That is, from </w:t>
      </w:r>
      <w:r w:rsidRPr="00DE1BD4">
        <w:rPr>
          <w:rFonts w:cstheme="minorHAnsi"/>
        </w:rPr>
        <w:t>people at risk being prepared and able to respond to a warning themselves, to national and local stakeholders having their capacities strengthened for when required. According to the Action Plan, the main outcomes in this pillar include:</w:t>
      </w:r>
    </w:p>
    <w:p w14:paraId="200467BE" w14:textId="77777777" w:rsidR="000758A7" w:rsidRPr="00DE1BD4" w:rsidRDefault="000758A7" w:rsidP="000758A7">
      <w:pPr>
        <w:autoSpaceDE w:val="0"/>
        <w:autoSpaceDN w:val="0"/>
        <w:adjustRightInd w:val="0"/>
        <w:spacing w:after="0"/>
        <w:rPr>
          <w:rFonts w:cstheme="minorHAnsi"/>
        </w:rPr>
      </w:pPr>
    </w:p>
    <w:p w14:paraId="640CB206" w14:textId="77777777" w:rsidR="000758A7" w:rsidRPr="00DE1BD4" w:rsidRDefault="000758A7" w:rsidP="00963CF3">
      <w:pPr>
        <w:pStyle w:val="ListParagraph"/>
        <w:numPr>
          <w:ilvl w:val="0"/>
          <w:numId w:val="41"/>
        </w:numPr>
        <w:autoSpaceDE w:val="0"/>
        <w:autoSpaceDN w:val="0"/>
        <w:adjustRightInd w:val="0"/>
        <w:spacing w:after="0" w:line="240" w:lineRule="auto"/>
        <w:rPr>
          <w:rFonts w:cstheme="minorHAnsi"/>
        </w:rPr>
      </w:pPr>
      <w:r w:rsidRPr="00DE1BD4">
        <w:rPr>
          <w:rFonts w:cstheme="minorHAnsi"/>
        </w:rPr>
        <w:t>Crisis/disaster risk management and climate adaptation laws, policies and/or plans are reviewed, ensuring they reduce climate change impacts and exposure on people and the environment.</w:t>
      </w:r>
    </w:p>
    <w:p w14:paraId="56166D64" w14:textId="77777777" w:rsidR="000758A7" w:rsidRPr="00DE1BD4" w:rsidRDefault="000758A7" w:rsidP="00963CF3">
      <w:pPr>
        <w:pStyle w:val="ListParagraph"/>
        <w:numPr>
          <w:ilvl w:val="0"/>
          <w:numId w:val="41"/>
        </w:numPr>
        <w:autoSpaceDE w:val="0"/>
        <w:autoSpaceDN w:val="0"/>
        <w:adjustRightInd w:val="0"/>
        <w:spacing w:after="0" w:line="240" w:lineRule="auto"/>
        <w:rPr>
          <w:rFonts w:cstheme="minorHAnsi"/>
        </w:rPr>
      </w:pPr>
      <w:r w:rsidRPr="00DE1BD4">
        <w:rPr>
          <w:rFonts w:cstheme="minorHAnsi"/>
        </w:rPr>
        <w:t>Preparedness capacities are ensured at the local level, enabling local first responders to act quickly and effectively based on the early warning alert.</w:t>
      </w:r>
    </w:p>
    <w:p w14:paraId="356F6DAB" w14:textId="77777777" w:rsidR="000758A7" w:rsidRPr="00DE1BD4" w:rsidRDefault="000758A7" w:rsidP="00963CF3">
      <w:pPr>
        <w:pStyle w:val="ListParagraph"/>
        <w:numPr>
          <w:ilvl w:val="0"/>
          <w:numId w:val="41"/>
        </w:numPr>
        <w:autoSpaceDE w:val="0"/>
        <w:autoSpaceDN w:val="0"/>
        <w:adjustRightInd w:val="0"/>
        <w:spacing w:after="0" w:line="240" w:lineRule="auto"/>
        <w:rPr>
          <w:rFonts w:cstheme="minorHAnsi"/>
        </w:rPr>
      </w:pPr>
      <w:r w:rsidRPr="00DE1BD4">
        <w:rPr>
          <w:rFonts w:cstheme="minorHAnsi"/>
        </w:rPr>
        <w:t>Countries and local actors can monitor the availability of early warnings, associated financing and the feasibility and effectiveness of anticipatory action.</w:t>
      </w:r>
    </w:p>
    <w:p w14:paraId="0ECF18E2" w14:textId="77777777" w:rsidR="000758A7" w:rsidRPr="00DE1BD4" w:rsidRDefault="000758A7" w:rsidP="00963CF3">
      <w:pPr>
        <w:pStyle w:val="ListParagraph"/>
        <w:numPr>
          <w:ilvl w:val="0"/>
          <w:numId w:val="41"/>
        </w:numPr>
        <w:rPr>
          <w:rFonts w:cstheme="minorHAnsi"/>
        </w:rPr>
      </w:pPr>
      <w:r w:rsidRPr="00DE1BD4">
        <w:rPr>
          <w:rFonts w:cstheme="minorHAnsi"/>
        </w:rPr>
        <w:t>Strengthened collaboration between stakeholders for informed action on the ground.</w:t>
      </w:r>
    </w:p>
    <w:p w14:paraId="24CF8ADA" w14:textId="77777777" w:rsidR="000758A7" w:rsidRPr="00DE1BD4" w:rsidRDefault="000758A7" w:rsidP="00BD0F93">
      <w:pPr>
        <w:shd w:val="clear" w:color="auto" w:fill="FFFFFF"/>
        <w:spacing w:after="0"/>
        <w:rPr>
          <w:rFonts w:cstheme="minorHAnsi"/>
        </w:rPr>
      </w:pPr>
    </w:p>
    <w:p w14:paraId="2CA6AAB0" w14:textId="77777777" w:rsidR="00E44630" w:rsidRPr="00DE1BD4" w:rsidRDefault="00E44630" w:rsidP="00F205FD"/>
    <w:p w14:paraId="395DC890" w14:textId="73BF423C" w:rsidR="00642C9D" w:rsidRPr="00DE1BD4" w:rsidRDefault="00642C9D">
      <w:pPr>
        <w:jc w:val="left"/>
      </w:pPr>
      <w:r w:rsidRPr="00DE1BD4">
        <w:br w:type="page"/>
      </w:r>
    </w:p>
    <w:p w14:paraId="3C4D7AD6" w14:textId="50BB5099" w:rsidR="00DA09B3" w:rsidRPr="00DE1BD4" w:rsidRDefault="006A290D" w:rsidP="00B16221">
      <w:pPr>
        <w:pStyle w:val="Heading1"/>
      </w:pPr>
      <w:bookmarkStart w:id="82" w:name="_Ref174781515"/>
      <w:bookmarkStart w:id="83" w:name="_Toc181885769"/>
      <w:r w:rsidRPr="00DE1BD4">
        <w:t>Legislation</w:t>
      </w:r>
      <w:r w:rsidR="002D2880" w:rsidRPr="00DE1BD4">
        <w:t>, Policies and Plans</w:t>
      </w:r>
      <w:r w:rsidRPr="00DE1BD4">
        <w:t xml:space="preserve"> </w:t>
      </w:r>
      <w:r w:rsidR="001A7B67" w:rsidRPr="00DE1BD4">
        <w:t>R</w:t>
      </w:r>
      <w:r w:rsidRPr="00DE1BD4">
        <w:t xml:space="preserve">elated to </w:t>
      </w:r>
      <w:r w:rsidR="001A7B67" w:rsidRPr="00DE1BD4">
        <w:t>D</w:t>
      </w:r>
      <w:r w:rsidRPr="00DE1BD4">
        <w:t xml:space="preserve">isaster </w:t>
      </w:r>
      <w:r w:rsidR="00951307" w:rsidRPr="00DE1BD4">
        <w:t>R</w:t>
      </w:r>
      <w:r w:rsidRPr="00DE1BD4">
        <w:t xml:space="preserve">isk </w:t>
      </w:r>
      <w:r w:rsidR="00951307" w:rsidRPr="00DE1BD4">
        <w:t>M</w:t>
      </w:r>
      <w:r w:rsidRPr="00DE1BD4">
        <w:t>anagement</w:t>
      </w:r>
      <w:bookmarkEnd w:id="70"/>
      <w:bookmarkEnd w:id="71"/>
      <w:bookmarkEnd w:id="72"/>
      <w:bookmarkEnd w:id="73"/>
      <w:bookmarkEnd w:id="74"/>
      <w:bookmarkEnd w:id="75"/>
      <w:bookmarkEnd w:id="76"/>
      <w:bookmarkEnd w:id="77"/>
      <w:bookmarkEnd w:id="78"/>
      <w:bookmarkEnd w:id="82"/>
      <w:bookmarkEnd w:id="83"/>
      <w:r w:rsidRPr="00DE1BD4">
        <w:t xml:space="preserve"> </w:t>
      </w:r>
      <w:bookmarkEnd w:id="68"/>
    </w:p>
    <w:p w14:paraId="4484B204" w14:textId="36ACAC3F" w:rsidR="00AB30F6" w:rsidRPr="00DE1BD4" w:rsidRDefault="00AB30F6" w:rsidP="00AB30F6">
      <w:pPr>
        <w:rPr>
          <w:i/>
          <w:iCs/>
        </w:rPr>
      </w:pPr>
      <w:r w:rsidRPr="00DE1BD4">
        <w:rPr>
          <w:i/>
          <w:iCs/>
        </w:rPr>
        <w:t>In case these are not currently in place, high-level laws and regulations for DRM should be established. This comprehensive legal, policy, and institutional framework should be based on the existing DRM policy and include national disaster management plans and be specific in defining the agencies accountable for developing emergency sectorial regulations.</w:t>
      </w:r>
    </w:p>
    <w:p w14:paraId="6D85DE6B" w14:textId="77777777" w:rsidR="00FC6EA9" w:rsidRPr="002160E7" w:rsidRDefault="00FC6EA9" w:rsidP="00FC6EA9">
      <w:pPr>
        <w:jc w:val="center"/>
        <w:rPr>
          <w:b/>
          <w:bCs/>
        </w:rPr>
      </w:pPr>
      <w:r w:rsidRPr="002160E7">
        <w:rPr>
          <w:b/>
          <w:bCs/>
          <w:highlight w:val="yellow"/>
        </w:rPr>
        <w:t>To be updated following stakeholder consultation</w:t>
      </w:r>
    </w:p>
    <w:p w14:paraId="3A51BB6C" w14:textId="7612E68A" w:rsidR="008629B5" w:rsidRPr="00DE1BD4" w:rsidRDefault="00B035E3" w:rsidP="007876B5">
      <w:r w:rsidRPr="00DE1BD4">
        <w:t xml:space="preserve">Legislation and regulation are key tools for </w:t>
      </w:r>
      <w:r w:rsidR="007F702E" w:rsidRPr="00DE1BD4">
        <w:t xml:space="preserve">disaster risk </w:t>
      </w:r>
      <w:r w:rsidRPr="00DE1BD4">
        <w:t>management, as they are the</w:t>
      </w:r>
      <w:r w:rsidR="006A290D" w:rsidRPr="00DE1BD4">
        <w:t xml:space="preserve"> foundation</w:t>
      </w:r>
      <w:r w:rsidRPr="00DE1BD4">
        <w:t xml:space="preserve"> </w:t>
      </w:r>
      <w:r w:rsidR="006A290D" w:rsidRPr="00DE1BD4">
        <w:t>for</w:t>
      </w:r>
      <w:r w:rsidRPr="00DE1BD4">
        <w:t xml:space="preserve"> the definition of </w:t>
      </w:r>
      <w:r w:rsidR="00C71E07" w:rsidRPr="00DE1BD4">
        <w:t xml:space="preserve">roles and </w:t>
      </w:r>
      <w:r w:rsidRPr="00DE1BD4">
        <w:t xml:space="preserve">responsibilities </w:t>
      </w:r>
      <w:r w:rsidR="00C71E07" w:rsidRPr="00DE1BD4">
        <w:t>of</w:t>
      </w:r>
      <w:r w:rsidRPr="00DE1BD4">
        <w:t xml:space="preserve"> </w:t>
      </w:r>
      <w:r w:rsidR="00C71E07" w:rsidRPr="00DE1BD4">
        <w:t>all actors involved</w:t>
      </w:r>
      <w:r w:rsidRPr="00DE1BD4">
        <w:t xml:space="preserve"> in</w:t>
      </w:r>
      <w:r w:rsidR="00C71E07" w:rsidRPr="00DE1BD4">
        <w:t xml:space="preserve"> the</w:t>
      </w:r>
      <w:r w:rsidRPr="00DE1BD4">
        <w:t xml:space="preserve"> disaster management </w:t>
      </w:r>
      <w:r w:rsidR="00C71E07" w:rsidRPr="00DE1BD4">
        <w:t>process</w:t>
      </w:r>
      <w:r w:rsidRPr="00DE1BD4">
        <w:t xml:space="preserve">. </w:t>
      </w:r>
      <w:r w:rsidR="00C71E07" w:rsidRPr="00DE1BD4">
        <w:t>L</w:t>
      </w:r>
      <w:r w:rsidRPr="00DE1BD4">
        <w:t xml:space="preserve">aws and regulations </w:t>
      </w:r>
      <w:r w:rsidR="00C71E07" w:rsidRPr="00DE1BD4">
        <w:t>are the</w:t>
      </w:r>
      <w:r w:rsidRPr="00DE1BD4">
        <w:t xml:space="preserve"> framework upon which coordination mechanisms, communication channels</w:t>
      </w:r>
      <w:r w:rsidR="00C71E07" w:rsidRPr="00DE1BD4">
        <w:t xml:space="preserve"> and </w:t>
      </w:r>
      <w:r w:rsidRPr="00DE1BD4">
        <w:t xml:space="preserve">standard operating procedures are determined, and </w:t>
      </w:r>
      <w:r w:rsidR="00C71E07" w:rsidRPr="00DE1BD4">
        <w:t xml:space="preserve">upon which </w:t>
      </w:r>
      <w:r w:rsidRPr="00DE1BD4">
        <w:t>decision makers in relevant agencies are identified</w:t>
      </w:r>
      <w:r w:rsidR="00631CE8" w:rsidRPr="0045782B">
        <w:rPr>
          <w:rStyle w:val="FootnoteReference"/>
        </w:rPr>
        <w:footnoteReference w:id="12"/>
      </w:r>
      <w:r w:rsidR="00951307" w:rsidRPr="00DE1BD4">
        <w:t>.</w:t>
      </w:r>
    </w:p>
    <w:p w14:paraId="516263EA" w14:textId="4B725ADE" w:rsidR="009F5820" w:rsidRPr="00DE1BD4" w:rsidRDefault="00814AF1" w:rsidP="007876B5">
      <w:r w:rsidRPr="00DE1BD4">
        <w:t>Thus,</w:t>
      </w:r>
      <w:r w:rsidR="009F5820" w:rsidRPr="00DE1BD4">
        <w:t xml:space="preserve"> it is important</w:t>
      </w:r>
      <w:r w:rsidR="00DF597D" w:rsidRPr="00DE1BD4">
        <w:t xml:space="preserve"> to confirm and assess the current legislative and regulatory framework for D</w:t>
      </w:r>
      <w:r w:rsidR="00A33355" w:rsidRPr="00DE1BD4">
        <w:t xml:space="preserve">isaster </w:t>
      </w:r>
      <w:r w:rsidR="00DF597D" w:rsidRPr="00DE1BD4">
        <w:t>R</w:t>
      </w:r>
      <w:r w:rsidR="00A33355" w:rsidRPr="00DE1BD4">
        <w:t xml:space="preserve">isk </w:t>
      </w:r>
      <w:r w:rsidR="00DF597D" w:rsidRPr="00DE1BD4">
        <w:t>M</w:t>
      </w:r>
      <w:r w:rsidR="00A33355" w:rsidRPr="00DE1BD4">
        <w:t>anagement (DRM) and Disaster Risk Reduction (DRR)</w:t>
      </w:r>
      <w:r w:rsidR="00DF597D" w:rsidRPr="00DE1BD4">
        <w:t xml:space="preserve"> in </w:t>
      </w:r>
      <w:r w:rsidR="00FE2611">
        <w:t>The Gambia</w:t>
      </w:r>
      <w:r w:rsidR="00DF597D" w:rsidRPr="00DE1BD4">
        <w:t>. This framework</w:t>
      </w:r>
      <w:r w:rsidR="00642310" w:rsidRPr="00DE1BD4">
        <w:t xml:space="preserve"> is described in more detail in the following sections</w:t>
      </w:r>
      <w:r w:rsidR="003D207D" w:rsidRPr="00DE1BD4">
        <w:t>.</w:t>
      </w:r>
    </w:p>
    <w:p w14:paraId="089D2382" w14:textId="3E424276" w:rsidR="00F51CF1" w:rsidRPr="00DE1BD4" w:rsidRDefault="00F51CF1" w:rsidP="00F51CF1">
      <w:pPr>
        <w:pStyle w:val="Heading2"/>
      </w:pPr>
      <w:bookmarkStart w:id="84" w:name="_3rdcrjn"/>
      <w:bookmarkStart w:id="85" w:name="_Toc181885770"/>
      <w:bookmarkEnd w:id="84"/>
      <w:r w:rsidRPr="00DE1BD4">
        <w:t>National Disaster Management Policy 20</w:t>
      </w:r>
      <w:r w:rsidR="00AC499C" w:rsidRPr="00DE1BD4">
        <w:t>0</w:t>
      </w:r>
      <w:r w:rsidR="00F0488A">
        <w:t>7</w:t>
      </w:r>
      <w:bookmarkEnd w:id="85"/>
    </w:p>
    <w:p w14:paraId="0F67D66C" w14:textId="58F54EA4" w:rsidR="00F51CF1" w:rsidRPr="00DE1BD4" w:rsidRDefault="00F51CF1" w:rsidP="00F51CF1">
      <w:r w:rsidRPr="00DE1BD4">
        <w:t>The National Disaster Management Policy</w:t>
      </w:r>
      <w:r w:rsidR="00AE7DAC" w:rsidRPr="0045782B">
        <w:rPr>
          <w:rStyle w:val="FootnoteReference"/>
        </w:rPr>
        <w:footnoteReference w:id="13"/>
      </w:r>
      <w:r w:rsidRPr="00DE1BD4">
        <w:t xml:space="preserve"> (</w:t>
      </w:r>
      <w:r w:rsidR="0009027B">
        <w:t>N</w:t>
      </w:r>
      <w:r w:rsidR="002B3A2D">
        <w:t>D</w:t>
      </w:r>
      <w:r w:rsidR="0009027B">
        <w:t>MP)</w:t>
      </w:r>
      <w:r w:rsidRPr="00DE1BD4">
        <w:t xml:space="preserve"> seeks to outline a</w:t>
      </w:r>
      <w:r w:rsidR="00B8248A" w:rsidRPr="00DE1BD4">
        <w:t>nd develop</w:t>
      </w:r>
      <w:r w:rsidR="00D65869" w:rsidRPr="00DE1BD4">
        <w:t xml:space="preserve"> adequate capacity for co-ordination and co-operation</w:t>
      </w:r>
      <w:r w:rsidR="003A2F09" w:rsidRPr="00DE1BD4">
        <w:t xml:space="preserve"> </w:t>
      </w:r>
      <w:r w:rsidR="00D65869" w:rsidRPr="00DE1BD4">
        <w:t xml:space="preserve">in disaster management across </w:t>
      </w:r>
      <w:r w:rsidR="003A2F09" w:rsidRPr="00DE1BD4">
        <w:t>key stakeholders at all levels.</w:t>
      </w:r>
      <w:r w:rsidRPr="00DE1BD4">
        <w:t xml:space="preserve"> The policy </w:t>
      </w:r>
      <w:r w:rsidR="00853A1A" w:rsidRPr="00DE1BD4">
        <w:t>considers</w:t>
      </w:r>
      <w:r w:rsidR="00A86D94" w:rsidRPr="00DE1BD4">
        <w:t xml:space="preserve"> the disaster management </w:t>
      </w:r>
      <w:r w:rsidR="00DA7B27" w:rsidRPr="00DE1BD4">
        <w:t xml:space="preserve">from a development perspective and as such </w:t>
      </w:r>
      <w:r w:rsidR="00FC36CC" w:rsidRPr="00DE1BD4">
        <w:t>mainstreaming disaster management activities is an integral part of the development process</w:t>
      </w:r>
      <w:r w:rsidR="00B03DC3" w:rsidRPr="00DE1BD4">
        <w:t>.</w:t>
      </w:r>
    </w:p>
    <w:p w14:paraId="1D999673" w14:textId="6BA3230D" w:rsidR="00F51CF1" w:rsidRPr="00DE1BD4" w:rsidRDefault="00F51CF1" w:rsidP="00F51CF1">
      <w:r w:rsidRPr="00DE1BD4">
        <w:t xml:space="preserve">The </w:t>
      </w:r>
      <w:r w:rsidR="00A07FE1" w:rsidRPr="00DE1BD4">
        <w:t>objectives of the Policy are to</w:t>
      </w:r>
      <w:r w:rsidRPr="00DE1BD4">
        <w:t xml:space="preserve">: </w:t>
      </w:r>
    </w:p>
    <w:p w14:paraId="28092841" w14:textId="50C9497B" w:rsidR="00C87D41" w:rsidRDefault="00C87D41" w:rsidP="00963CF3">
      <w:pPr>
        <w:pStyle w:val="ListParagraph"/>
        <w:numPr>
          <w:ilvl w:val="0"/>
          <w:numId w:val="27"/>
        </w:numPr>
      </w:pPr>
      <w:r>
        <w:t>To integrate disaster risk reduction into sustainable development policies and planning</w:t>
      </w:r>
      <w:r w:rsidR="00922163">
        <w:t>.</w:t>
      </w:r>
    </w:p>
    <w:p w14:paraId="52F1CACB" w14:textId="5514E4E6" w:rsidR="00C87D41" w:rsidRDefault="00C87D41" w:rsidP="00963CF3">
      <w:pPr>
        <w:pStyle w:val="ListParagraph"/>
        <w:numPr>
          <w:ilvl w:val="0"/>
          <w:numId w:val="27"/>
        </w:numPr>
      </w:pPr>
      <w:r>
        <w:t>To develop and strengthen institutional mechanisms and capacities to build resilience to</w:t>
      </w:r>
      <w:r w:rsidR="00922163">
        <w:t xml:space="preserve"> </w:t>
      </w:r>
      <w:r>
        <w:t>hazards</w:t>
      </w:r>
      <w:r w:rsidR="00922163">
        <w:t>.</w:t>
      </w:r>
    </w:p>
    <w:p w14:paraId="7A1B7563" w14:textId="669F010D" w:rsidR="00C87D41" w:rsidRDefault="00C87D41" w:rsidP="00963CF3">
      <w:pPr>
        <w:pStyle w:val="ListParagraph"/>
        <w:numPr>
          <w:ilvl w:val="0"/>
          <w:numId w:val="27"/>
        </w:numPr>
      </w:pPr>
      <w:r>
        <w:t>The systematic incorporation of international, regional, national and local disaster risk</w:t>
      </w:r>
      <w:r w:rsidR="00922163">
        <w:t xml:space="preserve"> </w:t>
      </w:r>
      <w:r>
        <w:t>reduction strategies and approaches into the implementation of emergency preparedness,</w:t>
      </w:r>
      <w:r w:rsidR="00922163">
        <w:t xml:space="preserve"> </w:t>
      </w:r>
      <w:r>
        <w:t>response and recovery.</w:t>
      </w:r>
    </w:p>
    <w:p w14:paraId="04C29AED" w14:textId="3A4D4225" w:rsidR="00E33567" w:rsidRDefault="00C87D41" w:rsidP="00963CF3">
      <w:pPr>
        <w:pStyle w:val="ListParagraph"/>
        <w:numPr>
          <w:ilvl w:val="0"/>
          <w:numId w:val="27"/>
        </w:numPr>
      </w:pPr>
      <w:r>
        <w:t>To achieve a comprehensive, all hazard, all agencies approach by achieving the right</w:t>
      </w:r>
      <w:r w:rsidR="00922163">
        <w:t xml:space="preserve"> </w:t>
      </w:r>
      <w:r>
        <w:t>balance of prevention, preparedness, mitigation, response and recovery</w:t>
      </w:r>
      <w:r w:rsidR="00E33567">
        <w:t>.</w:t>
      </w:r>
    </w:p>
    <w:p w14:paraId="2DA5E6FC" w14:textId="051E5C6E" w:rsidR="00E33567" w:rsidRDefault="00E33567" w:rsidP="00963CF3">
      <w:pPr>
        <w:pStyle w:val="ListParagraph"/>
        <w:numPr>
          <w:ilvl w:val="0"/>
          <w:numId w:val="27"/>
        </w:numPr>
      </w:pPr>
      <w:r>
        <w:t>Prepare communities to ensure that they are fully equipped to anticipate and respond to disaster events.</w:t>
      </w:r>
    </w:p>
    <w:p w14:paraId="6BC267CC" w14:textId="21C439AF" w:rsidR="00E33567" w:rsidRDefault="00E33567" w:rsidP="00963CF3">
      <w:pPr>
        <w:pStyle w:val="ListParagraph"/>
        <w:numPr>
          <w:ilvl w:val="0"/>
          <w:numId w:val="27"/>
        </w:numPr>
      </w:pPr>
      <w:r>
        <w:t>To promote a transparent, systematic and consistent approach to disaster risk assessment and management.</w:t>
      </w:r>
    </w:p>
    <w:p w14:paraId="6C049AB5" w14:textId="6ADEB65C" w:rsidR="00E33567" w:rsidRDefault="00E33567" w:rsidP="00963CF3">
      <w:pPr>
        <w:pStyle w:val="ListParagraph"/>
        <w:numPr>
          <w:ilvl w:val="0"/>
          <w:numId w:val="27"/>
        </w:numPr>
      </w:pPr>
      <w:r>
        <w:t>A multi-stakeholder participatory approach including community participation at all</w:t>
      </w:r>
      <w:r w:rsidR="007B4A72">
        <w:t xml:space="preserve"> </w:t>
      </w:r>
      <w:r>
        <w:t>levels.</w:t>
      </w:r>
    </w:p>
    <w:p w14:paraId="53FB9CED" w14:textId="77777777" w:rsidR="00E33567" w:rsidRDefault="00E33567" w:rsidP="00963CF3">
      <w:pPr>
        <w:pStyle w:val="ListParagraph"/>
        <w:numPr>
          <w:ilvl w:val="0"/>
          <w:numId w:val="27"/>
        </w:numPr>
      </w:pPr>
      <w:r>
        <w:t>Develop a database and information exchange system at national and international levels.</w:t>
      </w:r>
      <w:r w:rsidRPr="00DE1BD4">
        <w:t xml:space="preserve"> </w:t>
      </w:r>
    </w:p>
    <w:p w14:paraId="5B445CEA" w14:textId="440A0390" w:rsidR="00A50FA5" w:rsidRPr="00DE1BD4" w:rsidRDefault="00046DFE" w:rsidP="00A50FA5">
      <w:r w:rsidRPr="00DE1BD4">
        <w:t xml:space="preserve">The Policy is a concise document that considers key </w:t>
      </w:r>
      <w:r w:rsidR="0012451D" w:rsidRPr="00DE1BD4">
        <w:t>DR</w:t>
      </w:r>
      <w:r w:rsidR="00A33355" w:rsidRPr="00DE1BD4">
        <w:t>M</w:t>
      </w:r>
      <w:r w:rsidR="0012451D" w:rsidRPr="00DE1BD4">
        <w:t xml:space="preserve"> </w:t>
      </w:r>
      <w:r w:rsidR="00CD4352">
        <w:t>focus areas</w:t>
      </w:r>
      <w:r w:rsidR="0012451D" w:rsidRPr="00DE1BD4">
        <w:t xml:space="preserve"> such as;</w:t>
      </w:r>
    </w:p>
    <w:p w14:paraId="6DC9CF1D" w14:textId="577F473E" w:rsidR="0012451D" w:rsidRDefault="00BC40DD" w:rsidP="00963CF3">
      <w:pPr>
        <w:pStyle w:val="ListParagraph"/>
        <w:numPr>
          <w:ilvl w:val="0"/>
          <w:numId w:val="47"/>
        </w:numPr>
      </w:pPr>
      <w:r>
        <w:t>Making disaster risk reduction a development priority</w:t>
      </w:r>
    </w:p>
    <w:p w14:paraId="5EEE936C" w14:textId="03ECCA4B" w:rsidR="00BC40DD" w:rsidRPr="00DE1BD4" w:rsidRDefault="00CA6171" w:rsidP="00963CF3">
      <w:pPr>
        <w:pStyle w:val="ListParagraph"/>
        <w:numPr>
          <w:ilvl w:val="0"/>
          <w:numId w:val="47"/>
        </w:numPr>
      </w:pPr>
      <w:r>
        <w:t>Improving early warning systems</w:t>
      </w:r>
    </w:p>
    <w:p w14:paraId="61E30D2D" w14:textId="1E4E2EFA" w:rsidR="00A33355" w:rsidRPr="00DE1BD4" w:rsidRDefault="00BC40DD" w:rsidP="00963CF3">
      <w:pPr>
        <w:pStyle w:val="ListParagraph"/>
        <w:numPr>
          <w:ilvl w:val="0"/>
          <w:numId w:val="47"/>
        </w:numPr>
      </w:pPr>
      <w:r>
        <w:t>Addressing priority development concerns to reduce underlying risk factors</w:t>
      </w:r>
    </w:p>
    <w:p w14:paraId="516044ED" w14:textId="5A83C2D9" w:rsidR="00B972F0" w:rsidRPr="00DE1BD4" w:rsidRDefault="00CD4352" w:rsidP="00963CF3">
      <w:pPr>
        <w:pStyle w:val="ListParagraph"/>
        <w:numPr>
          <w:ilvl w:val="0"/>
          <w:numId w:val="47"/>
        </w:numPr>
      </w:pPr>
      <w:r>
        <w:t>Effective disaster response through disaster preparedness.</w:t>
      </w:r>
      <w:r w:rsidR="009232CA" w:rsidRPr="00DE1BD4">
        <w:t xml:space="preserve"> </w:t>
      </w:r>
    </w:p>
    <w:p w14:paraId="37EB9F56" w14:textId="59208944" w:rsidR="009232CA" w:rsidRPr="00DE1BD4" w:rsidRDefault="009232CA" w:rsidP="009232CA">
      <w:r w:rsidRPr="00DE1BD4">
        <w:t>The Policy also considered the framework that is to be established</w:t>
      </w:r>
      <w:r w:rsidR="00C63F46" w:rsidRPr="00DE1BD4">
        <w:t xml:space="preserve"> </w:t>
      </w:r>
      <w:r w:rsidR="004D3F57" w:rsidRPr="00DE1BD4">
        <w:t xml:space="preserve">to manage DRM in </w:t>
      </w:r>
      <w:r w:rsidR="00FE2611">
        <w:t>The Gambia</w:t>
      </w:r>
      <w:r w:rsidR="004D3F57" w:rsidRPr="00DE1BD4">
        <w:t xml:space="preserve"> </w:t>
      </w:r>
      <w:r w:rsidR="00C63F46" w:rsidRPr="00DE1BD4">
        <w:t xml:space="preserve">which is shown </w:t>
      </w:r>
      <w:r w:rsidR="004C4AB3">
        <w:t xml:space="preserve"> </w:t>
      </w:r>
      <w:r w:rsidR="004C4AB3">
        <w:fldChar w:fldCharType="begin"/>
      </w:r>
      <w:r w:rsidR="004C4AB3">
        <w:instrText xml:space="preserve"> REF _Ref174784387 \h </w:instrText>
      </w:r>
      <w:r w:rsidR="004C4AB3">
        <w:fldChar w:fldCharType="separate"/>
      </w:r>
      <w:r w:rsidR="004C4AB3" w:rsidRPr="00DE1BD4">
        <w:t xml:space="preserve">Figure </w:t>
      </w:r>
      <w:r w:rsidR="004C4AB3">
        <w:rPr>
          <w:noProof/>
        </w:rPr>
        <w:t>3</w:t>
      </w:r>
      <w:r w:rsidR="004C4AB3">
        <w:fldChar w:fldCharType="end"/>
      </w:r>
      <w:r w:rsidR="004C4AB3">
        <w:t xml:space="preserve"> </w:t>
      </w:r>
      <w:r w:rsidR="00C63F46" w:rsidRPr="00DE1BD4">
        <w:t>below</w:t>
      </w:r>
      <w:r w:rsidR="00EE7C57">
        <w:t>.</w:t>
      </w:r>
    </w:p>
    <w:p w14:paraId="3A726481" w14:textId="26D9E7EB" w:rsidR="006679B2" w:rsidRPr="00DE1BD4" w:rsidRDefault="00014260" w:rsidP="00014260">
      <w:pPr>
        <w:pStyle w:val="Caption"/>
        <w:jc w:val="center"/>
      </w:pPr>
      <w:bookmarkStart w:id="86" w:name="_Ref174784387"/>
      <w:bookmarkStart w:id="87" w:name="_Toc181885865"/>
      <w:r w:rsidRPr="00DE1BD4">
        <w:t xml:space="preserve">Figure </w:t>
      </w:r>
      <w:r w:rsidRPr="00DE1BD4">
        <w:fldChar w:fldCharType="begin"/>
      </w:r>
      <w:r w:rsidRPr="00DE1BD4">
        <w:instrText xml:space="preserve"> SEQ Figure \* ARABIC </w:instrText>
      </w:r>
      <w:r w:rsidRPr="00DE1BD4">
        <w:fldChar w:fldCharType="separate"/>
      </w:r>
      <w:r w:rsidR="003F405A">
        <w:rPr>
          <w:noProof/>
        </w:rPr>
        <w:t>3</w:t>
      </w:r>
      <w:r w:rsidRPr="00DE1BD4">
        <w:fldChar w:fldCharType="end"/>
      </w:r>
      <w:bookmarkEnd w:id="86"/>
      <w:r w:rsidRPr="00DE1BD4">
        <w:t xml:space="preserve"> - </w:t>
      </w:r>
      <w:r w:rsidR="00FE2611">
        <w:t>The Gambia</w:t>
      </w:r>
      <w:r w:rsidRPr="00DE1BD4">
        <w:t xml:space="preserve"> Disaster Management Framework</w:t>
      </w:r>
      <w:r w:rsidR="000C4A34" w:rsidRPr="0045782B">
        <w:rPr>
          <w:rStyle w:val="FootnoteReference"/>
        </w:rPr>
        <w:footnoteReference w:id="14"/>
      </w:r>
      <w:bookmarkEnd w:id="87"/>
    </w:p>
    <w:p w14:paraId="383403CD" w14:textId="0CDA5BC8" w:rsidR="00C63F46" w:rsidRDefault="006C34E8" w:rsidP="00D17FDB">
      <w:pPr>
        <w:jc w:val="center"/>
      </w:pPr>
      <w:r w:rsidRPr="006C34E8">
        <w:rPr>
          <w:noProof/>
        </w:rPr>
        <w:drawing>
          <wp:inline distT="0" distB="0" distL="0" distR="0" wp14:anchorId="2FFFD189" wp14:editId="676241E0">
            <wp:extent cx="3638577" cy="5286414"/>
            <wp:effectExtent l="0" t="0" r="0" b="9525"/>
            <wp:docPr id="68515415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54154" name="Picture 1" descr="A diagram of a company&#10;&#10;Description automatically generated"/>
                    <pic:cNvPicPr/>
                  </pic:nvPicPr>
                  <pic:blipFill>
                    <a:blip r:embed="rId23"/>
                    <a:stretch>
                      <a:fillRect/>
                    </a:stretch>
                  </pic:blipFill>
                  <pic:spPr>
                    <a:xfrm>
                      <a:off x="0" y="0"/>
                      <a:ext cx="3638577" cy="5286414"/>
                    </a:xfrm>
                    <a:prstGeom prst="rect">
                      <a:avLst/>
                    </a:prstGeom>
                  </pic:spPr>
                </pic:pic>
              </a:graphicData>
            </a:graphic>
          </wp:inline>
        </w:drawing>
      </w:r>
    </w:p>
    <w:p w14:paraId="17824ECA" w14:textId="1AA56CBE" w:rsidR="006C34E8" w:rsidRPr="00DE1BD4" w:rsidRDefault="009C1B4E" w:rsidP="006C34E8">
      <w:r>
        <w:t xml:space="preserve">There does not </w:t>
      </w:r>
      <w:r w:rsidR="00687B6E">
        <w:t xml:space="preserve">currently </w:t>
      </w:r>
      <w:r>
        <w:t>appear to be any updated policy document.</w:t>
      </w:r>
    </w:p>
    <w:p w14:paraId="078E210D" w14:textId="74FB44E7" w:rsidR="00D1505F" w:rsidRPr="00DE1BD4" w:rsidRDefault="00080E60" w:rsidP="00C528FF">
      <w:pPr>
        <w:pStyle w:val="Heading2"/>
      </w:pPr>
      <w:bookmarkStart w:id="88" w:name="_Ref180749160"/>
      <w:bookmarkStart w:id="89" w:name="_Toc181885771"/>
      <w:r w:rsidRPr="00DE1BD4">
        <w:t xml:space="preserve">The </w:t>
      </w:r>
      <w:r w:rsidR="00BD456F">
        <w:t xml:space="preserve">National </w:t>
      </w:r>
      <w:r w:rsidR="00E636EC" w:rsidRPr="00DE1BD4">
        <w:t>Disaster</w:t>
      </w:r>
      <w:r w:rsidR="00FF3EF8" w:rsidRPr="00DE1BD4">
        <w:t xml:space="preserve"> Management Act</w:t>
      </w:r>
      <w:r w:rsidRPr="00DE1BD4">
        <w:t>,</w:t>
      </w:r>
      <w:r w:rsidR="00B40CC1" w:rsidRPr="00DE1BD4">
        <w:t xml:space="preserve"> 20</w:t>
      </w:r>
      <w:r w:rsidR="009C1B4E">
        <w:t>08</w:t>
      </w:r>
      <w:bookmarkEnd w:id="88"/>
      <w:bookmarkEnd w:id="89"/>
      <w:r w:rsidR="00B40CC1" w:rsidRPr="00DE1BD4">
        <w:t xml:space="preserve"> </w:t>
      </w:r>
    </w:p>
    <w:p w14:paraId="71609AB8" w14:textId="6FEF7B2A" w:rsidR="00C8019D" w:rsidRPr="00DE1BD4" w:rsidRDefault="006F0062" w:rsidP="00B82081">
      <w:pPr>
        <w:autoSpaceDE w:val="0"/>
        <w:autoSpaceDN w:val="0"/>
        <w:adjustRightInd w:val="0"/>
        <w:spacing w:after="0" w:line="240" w:lineRule="auto"/>
        <w:rPr>
          <w:rFonts w:ascii="Times-Bold" w:eastAsia="SimSun" w:hAnsi="Times-Bold" w:cs="Times-Bold"/>
          <w:b/>
          <w:bCs/>
          <w:lang w:eastAsia="en-US"/>
        </w:rPr>
      </w:pPr>
      <w:r w:rsidRPr="00DE1BD4">
        <w:t xml:space="preserve">The </w:t>
      </w:r>
      <w:r w:rsidR="00BD456F">
        <w:t xml:space="preserve">National </w:t>
      </w:r>
      <w:r w:rsidR="00B40CC1" w:rsidRPr="00DE1BD4">
        <w:t>Disaster Management Act</w:t>
      </w:r>
      <w:r w:rsidR="00080E60" w:rsidRPr="00DE1BD4">
        <w:t>,</w:t>
      </w:r>
      <w:r w:rsidR="00B40CC1" w:rsidRPr="00DE1BD4">
        <w:t xml:space="preserve"> 20</w:t>
      </w:r>
      <w:r w:rsidR="00BD456F">
        <w:t>08</w:t>
      </w:r>
      <w:r w:rsidR="00B40CC1" w:rsidRPr="00DE1BD4">
        <w:t xml:space="preserve"> </w:t>
      </w:r>
      <w:r w:rsidR="007A4790" w:rsidRPr="00DE1BD4">
        <w:t>(the Act)</w:t>
      </w:r>
      <w:r w:rsidR="00F51CF1" w:rsidRPr="00DE1BD4">
        <w:t xml:space="preserve"> </w:t>
      </w:r>
      <w:r w:rsidR="00396341" w:rsidRPr="00DE1BD4">
        <w:t>pro</w:t>
      </w:r>
      <w:r w:rsidR="00396341" w:rsidRPr="00DE1BD4">
        <w:rPr>
          <w:rFonts w:asciiTheme="minorHAnsi" w:hAnsiTheme="minorHAnsi" w:cstheme="minorHAnsi"/>
        </w:rPr>
        <w:t>vides</w:t>
      </w:r>
      <w:r w:rsidR="00BD456F">
        <w:rPr>
          <w:rFonts w:asciiTheme="minorHAnsi" w:hAnsiTheme="minorHAnsi" w:cstheme="minorHAnsi"/>
        </w:rPr>
        <w:t xml:space="preserve"> for</w:t>
      </w:r>
      <w:r w:rsidR="00396341" w:rsidRPr="00DE1BD4">
        <w:rPr>
          <w:rFonts w:asciiTheme="minorHAnsi" w:hAnsiTheme="minorHAnsi" w:cstheme="minorHAnsi"/>
        </w:rPr>
        <w:t xml:space="preserve"> </w:t>
      </w:r>
      <w:r w:rsidR="00C8019D" w:rsidRPr="00DE1BD4">
        <w:rPr>
          <w:rFonts w:asciiTheme="minorHAnsi" w:hAnsiTheme="minorHAnsi" w:cstheme="minorHAnsi"/>
        </w:rPr>
        <w:t>“</w:t>
      </w:r>
      <w:r w:rsidR="00B82081" w:rsidRPr="00B82081">
        <w:rPr>
          <w:rFonts w:asciiTheme="minorHAnsi" w:eastAsia="SimSun" w:hAnsiTheme="minorHAnsi" w:cstheme="minorHAnsi"/>
          <w:i/>
          <w:iCs/>
          <w:lang w:eastAsia="en-US"/>
        </w:rPr>
        <w:t>an integrated and coordinated</w:t>
      </w:r>
      <w:r w:rsidR="00B82081">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disaster management that focuses on</w:t>
      </w:r>
      <w:r w:rsidR="00B82081">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prevention, preparedness, response, mitigation,</w:t>
      </w:r>
      <w:r w:rsidR="00B82081">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and recovery from, disasters or emergency</w:t>
      </w:r>
      <w:r w:rsidR="00B82081">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situations, and the management of their effects, to</w:t>
      </w:r>
      <w:r w:rsidR="00B82081">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establish a National Disaster Management Agency and Regional, District and Village Disaster</w:t>
      </w:r>
      <w:r w:rsidR="00BD456F">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Management Committees and for matters</w:t>
      </w:r>
      <w:r w:rsidR="00BD456F">
        <w:rPr>
          <w:rFonts w:asciiTheme="minorHAnsi" w:eastAsia="SimSun" w:hAnsiTheme="minorHAnsi" w:cstheme="minorHAnsi"/>
          <w:i/>
          <w:iCs/>
          <w:lang w:eastAsia="en-US"/>
        </w:rPr>
        <w:t xml:space="preserve"> </w:t>
      </w:r>
      <w:r w:rsidR="00B82081" w:rsidRPr="00B82081">
        <w:rPr>
          <w:rFonts w:asciiTheme="minorHAnsi" w:eastAsia="SimSun" w:hAnsiTheme="minorHAnsi" w:cstheme="minorHAnsi"/>
          <w:i/>
          <w:iCs/>
          <w:lang w:eastAsia="en-US"/>
        </w:rPr>
        <w:t>connected therewith</w:t>
      </w:r>
      <w:r w:rsidR="00C8019D" w:rsidRPr="00DE1BD4">
        <w:rPr>
          <w:rFonts w:asciiTheme="minorHAnsi" w:eastAsia="SimSun" w:hAnsiTheme="minorHAnsi" w:cstheme="minorHAnsi"/>
          <w:i/>
          <w:iCs/>
          <w:lang w:eastAsia="en-US"/>
        </w:rPr>
        <w:t>”</w:t>
      </w:r>
      <w:r w:rsidR="0088221E" w:rsidRPr="0045782B">
        <w:rPr>
          <w:rStyle w:val="FootnoteReference"/>
        </w:rPr>
        <w:footnoteReference w:id="15"/>
      </w:r>
      <w:r w:rsidR="007551D1" w:rsidRPr="00DE1BD4">
        <w:rPr>
          <w:rFonts w:asciiTheme="minorHAnsi" w:eastAsia="SimSun" w:hAnsiTheme="minorHAnsi" w:cstheme="minorHAnsi"/>
          <w:lang w:eastAsia="en-US"/>
        </w:rPr>
        <w:t>.</w:t>
      </w:r>
      <w:r w:rsidR="00791518">
        <w:rPr>
          <w:rFonts w:asciiTheme="minorHAnsi" w:eastAsia="SimSun" w:hAnsiTheme="minorHAnsi" w:cstheme="minorHAnsi"/>
          <w:lang w:eastAsia="en-US"/>
        </w:rPr>
        <w:t xml:space="preserve"> The Act provides the legal f</w:t>
      </w:r>
      <w:r w:rsidR="00055221">
        <w:rPr>
          <w:rFonts w:asciiTheme="minorHAnsi" w:eastAsia="SimSun" w:hAnsiTheme="minorHAnsi" w:cstheme="minorHAnsi"/>
          <w:lang w:eastAsia="en-US"/>
        </w:rPr>
        <w:t>ramework for the co-ordinating</w:t>
      </w:r>
      <w:r w:rsidR="00D5071D">
        <w:rPr>
          <w:rFonts w:asciiTheme="minorHAnsi" w:eastAsia="SimSun" w:hAnsiTheme="minorHAnsi" w:cstheme="minorHAnsi"/>
          <w:lang w:eastAsia="en-US"/>
        </w:rPr>
        <w:t xml:space="preserve"> structures recommended in the NDMP</w:t>
      </w:r>
      <w:r w:rsidR="00D5071D" w:rsidRPr="0045782B">
        <w:rPr>
          <w:rStyle w:val="FootnoteReference"/>
        </w:rPr>
        <w:footnoteReference w:id="16"/>
      </w:r>
      <w:r w:rsidR="00D5071D">
        <w:rPr>
          <w:rFonts w:asciiTheme="minorHAnsi" w:eastAsia="SimSun" w:hAnsiTheme="minorHAnsi" w:cstheme="minorHAnsi"/>
          <w:lang w:eastAsia="en-US"/>
        </w:rPr>
        <w:t>.</w:t>
      </w:r>
    </w:p>
    <w:p w14:paraId="37B676BC" w14:textId="77777777" w:rsidR="00C8019D" w:rsidRPr="00DE1BD4" w:rsidRDefault="00C8019D" w:rsidP="00C8019D">
      <w:pPr>
        <w:autoSpaceDE w:val="0"/>
        <w:autoSpaceDN w:val="0"/>
        <w:adjustRightInd w:val="0"/>
        <w:spacing w:after="0" w:line="240" w:lineRule="auto"/>
        <w:rPr>
          <w:rFonts w:ascii="Times-Bold" w:eastAsia="SimSun" w:hAnsi="Times-Bold" w:cs="Times-Bold"/>
          <w:b/>
          <w:bCs/>
          <w:lang w:eastAsia="en-US"/>
        </w:rPr>
      </w:pPr>
    </w:p>
    <w:p w14:paraId="385C05D5" w14:textId="59C80B0D" w:rsidR="000333C2" w:rsidRPr="00DE1BD4" w:rsidRDefault="007A4790" w:rsidP="00C8019D">
      <w:pPr>
        <w:autoSpaceDE w:val="0"/>
        <w:autoSpaceDN w:val="0"/>
        <w:adjustRightInd w:val="0"/>
        <w:spacing w:after="0" w:line="240" w:lineRule="auto"/>
      </w:pPr>
      <w:r w:rsidRPr="00DE1BD4">
        <w:t>The Act</w:t>
      </w:r>
      <w:r w:rsidR="00190577" w:rsidRPr="00DE1BD4">
        <w:t xml:space="preserve"> </w:t>
      </w:r>
      <w:r w:rsidR="00F51CF1" w:rsidRPr="00DE1BD4">
        <w:t>aligns with the National Disaster Management Policy</w:t>
      </w:r>
      <w:r w:rsidR="009A7A0D">
        <w:t xml:space="preserve"> 200</w:t>
      </w:r>
      <w:r w:rsidR="00F1709C">
        <w:t>8</w:t>
      </w:r>
      <w:r w:rsidR="003159CC" w:rsidRPr="00DE1BD4">
        <w:t xml:space="preserve"> and formally</w:t>
      </w:r>
      <w:r w:rsidR="00F51CF1" w:rsidRPr="00DE1BD4">
        <w:t xml:space="preserve"> </w:t>
      </w:r>
      <w:r w:rsidR="006F0062" w:rsidRPr="00DE1BD4">
        <w:t xml:space="preserve">establishes the </w:t>
      </w:r>
      <w:r w:rsidR="008D0A29">
        <w:t>National Disaster Management Council (NDMC)</w:t>
      </w:r>
      <w:r w:rsidR="00D522CB">
        <w:t>, a Technical Advisory Committee</w:t>
      </w:r>
      <w:r w:rsidR="008D0A29">
        <w:t xml:space="preserve"> and the </w:t>
      </w:r>
      <w:r w:rsidR="006B7432">
        <w:t xml:space="preserve">National </w:t>
      </w:r>
      <w:r w:rsidR="001573DB">
        <w:t>Disaster</w:t>
      </w:r>
      <w:r w:rsidR="006B7432">
        <w:t xml:space="preserve"> Management Agency</w:t>
      </w:r>
      <w:r w:rsidR="00F61240">
        <w:t xml:space="preserve"> </w:t>
      </w:r>
      <w:r w:rsidR="00F61240" w:rsidRPr="00DE1BD4">
        <w:t>(</w:t>
      </w:r>
      <w:r w:rsidR="006B7432">
        <w:t>NDMA</w:t>
      </w:r>
      <w:r w:rsidR="00F61240" w:rsidRPr="00DE1BD4">
        <w:t>) under the Office of the Pr</w:t>
      </w:r>
      <w:r w:rsidR="00AD0AA9">
        <w:t>esident</w:t>
      </w:r>
      <w:r w:rsidR="00F61240" w:rsidRPr="00DE1BD4">
        <w:t xml:space="preserve"> (O</w:t>
      </w:r>
      <w:r w:rsidR="00AD0AA9">
        <w:t>P</w:t>
      </w:r>
      <w:r w:rsidR="00F61240" w:rsidRPr="00DE1BD4">
        <w:t xml:space="preserve">) and tasks the </w:t>
      </w:r>
      <w:r w:rsidR="006B7432">
        <w:t>NDMA</w:t>
      </w:r>
      <w:r w:rsidR="00F61240" w:rsidRPr="00DE1BD4">
        <w:t xml:space="preserve"> with </w:t>
      </w:r>
      <w:r w:rsidR="00F61240">
        <w:t>being the national focal point for the co-ordination of Disaster Risk Reduction and Management (DRRM)</w:t>
      </w:r>
      <w:r w:rsidR="000333C2" w:rsidRPr="00DE1BD4">
        <w:t xml:space="preserve"> in </w:t>
      </w:r>
      <w:r w:rsidR="00FE2611">
        <w:t>The Gambia</w:t>
      </w:r>
      <w:r w:rsidR="006A72D3" w:rsidRPr="0045782B">
        <w:rPr>
          <w:rStyle w:val="FootnoteReference"/>
        </w:rPr>
        <w:footnoteReference w:id="17"/>
      </w:r>
      <w:r w:rsidR="00F61240">
        <w:t xml:space="preserve">. Other salient responsibilities of the </w:t>
      </w:r>
      <w:r w:rsidR="00676081">
        <w:t>NDMA</w:t>
      </w:r>
      <w:r w:rsidR="00F61240">
        <w:t xml:space="preserve"> are</w:t>
      </w:r>
    </w:p>
    <w:p w14:paraId="777493B2" w14:textId="1C9C6F06" w:rsidR="006F0062" w:rsidRPr="00DE1BD4" w:rsidRDefault="006F0062" w:rsidP="00C8019D">
      <w:pPr>
        <w:autoSpaceDE w:val="0"/>
        <w:autoSpaceDN w:val="0"/>
        <w:adjustRightInd w:val="0"/>
        <w:spacing w:after="0" w:line="240" w:lineRule="auto"/>
      </w:pPr>
      <w:r w:rsidRPr="00DE1BD4">
        <w:t xml:space="preserve"> </w:t>
      </w:r>
    </w:p>
    <w:p w14:paraId="4193419C" w14:textId="3C7D2B7B" w:rsidR="00B15ECF" w:rsidRDefault="00B15ECF" w:rsidP="00963CF3">
      <w:pPr>
        <w:pStyle w:val="ListParagraph"/>
        <w:numPr>
          <w:ilvl w:val="0"/>
          <w:numId w:val="23"/>
        </w:numPr>
      </w:pPr>
      <w:r>
        <w:t xml:space="preserve">Lead the country’s efforts to prepare for, respond to, recover from, and mitigate the risks of natural and man-made </w:t>
      </w:r>
      <w:r w:rsidR="00ED7534">
        <w:t>disasters.</w:t>
      </w:r>
    </w:p>
    <w:p w14:paraId="501B1110" w14:textId="27E12DD5" w:rsidR="00B15ECF" w:rsidRDefault="00B15ECF" w:rsidP="00963CF3">
      <w:pPr>
        <w:pStyle w:val="ListParagraph"/>
        <w:numPr>
          <w:ilvl w:val="0"/>
          <w:numId w:val="23"/>
        </w:numPr>
      </w:pPr>
      <w:r>
        <w:t xml:space="preserve">Establish and maintain relations with international relief organizations in order to facilitate accessing of their resources in the event of a </w:t>
      </w:r>
      <w:r w:rsidR="00ED7534">
        <w:t>disaster.</w:t>
      </w:r>
    </w:p>
    <w:p w14:paraId="444FA366" w14:textId="05CAC9E4" w:rsidR="00B15ECF" w:rsidRDefault="00B15ECF" w:rsidP="00963CF3">
      <w:pPr>
        <w:pStyle w:val="ListParagraph"/>
        <w:numPr>
          <w:ilvl w:val="0"/>
          <w:numId w:val="23"/>
        </w:numPr>
      </w:pPr>
      <w:r>
        <w:t xml:space="preserve">Coordinate requests for aid, and to control and direct the allocation of aid provided by government and non-government </w:t>
      </w:r>
      <w:r w:rsidR="00ED7534">
        <w:t>agencies.</w:t>
      </w:r>
    </w:p>
    <w:p w14:paraId="469C6960" w14:textId="209A49A6" w:rsidR="00B15ECF" w:rsidRDefault="00B15ECF" w:rsidP="00963CF3">
      <w:pPr>
        <w:pStyle w:val="ListParagraph"/>
        <w:numPr>
          <w:ilvl w:val="0"/>
          <w:numId w:val="23"/>
        </w:numPr>
      </w:pPr>
      <w:r>
        <w:t xml:space="preserve">Advise and brief the NDMC from time to time on progress and major problems in disaster management, and if appeal for international assistance is </w:t>
      </w:r>
      <w:r w:rsidR="00ED7534">
        <w:t>required.</w:t>
      </w:r>
    </w:p>
    <w:p w14:paraId="41E0A8CA" w14:textId="3643EBFE" w:rsidR="00B15ECF" w:rsidRDefault="00B15ECF" w:rsidP="00963CF3">
      <w:pPr>
        <w:pStyle w:val="ListParagraph"/>
        <w:numPr>
          <w:ilvl w:val="0"/>
          <w:numId w:val="23"/>
        </w:numPr>
      </w:pPr>
      <w:r>
        <w:t>Act as the central planning, coordinating and monitoring institution for disaster management and post-disaster recovery reconstruction</w:t>
      </w:r>
      <w:r w:rsidR="00ED7534">
        <w:t>.</w:t>
      </w:r>
    </w:p>
    <w:p w14:paraId="62B81D08" w14:textId="143B4A75" w:rsidR="00B15ECF" w:rsidRDefault="00B15ECF" w:rsidP="00963CF3">
      <w:pPr>
        <w:pStyle w:val="ListParagraph"/>
        <w:numPr>
          <w:ilvl w:val="0"/>
          <w:numId w:val="23"/>
        </w:numPr>
      </w:pPr>
      <w:r>
        <w:t>Prepare, update, maintain, implement and monitor the National Disaster</w:t>
      </w:r>
    </w:p>
    <w:p w14:paraId="4C3E98F7" w14:textId="77777777" w:rsidR="00B15ECF" w:rsidRDefault="00B15ECF" w:rsidP="00963CF3">
      <w:pPr>
        <w:pStyle w:val="ListParagraph"/>
        <w:numPr>
          <w:ilvl w:val="0"/>
          <w:numId w:val="23"/>
        </w:numPr>
      </w:pPr>
      <w:r>
        <w:t>Plan; and</w:t>
      </w:r>
    </w:p>
    <w:p w14:paraId="27B3E54C" w14:textId="77777777" w:rsidR="00B9247E" w:rsidRDefault="00B15ECF" w:rsidP="00963CF3">
      <w:pPr>
        <w:pStyle w:val="ListParagraph"/>
        <w:numPr>
          <w:ilvl w:val="0"/>
          <w:numId w:val="23"/>
        </w:numPr>
      </w:pPr>
      <w:r>
        <w:t xml:space="preserve">Lay down guidelines for the Regional Committees and District Committees in drawing up the Regional Disaster Plans and District Disaster Plans, as well as advise the sector Ministries on disaster-related issues. </w:t>
      </w:r>
    </w:p>
    <w:p w14:paraId="72029622" w14:textId="28E9C1D6" w:rsidR="006F0062" w:rsidRPr="00DE1BD4" w:rsidRDefault="006F0062" w:rsidP="006F0062">
      <w:r w:rsidRPr="00DE1BD4">
        <w:t xml:space="preserve">The </w:t>
      </w:r>
      <w:r w:rsidR="00297D81" w:rsidRPr="00DE1BD4">
        <w:t xml:space="preserve">Act </w:t>
      </w:r>
      <w:r w:rsidR="00A50394">
        <w:t>also establishes Regional</w:t>
      </w:r>
      <w:r w:rsidR="00066DAE">
        <w:t>, District and Village</w:t>
      </w:r>
      <w:r w:rsidR="00A50394">
        <w:t xml:space="preserve"> Disaster </w:t>
      </w:r>
      <w:r w:rsidR="00066DAE">
        <w:t>Management Committees</w:t>
      </w:r>
      <w:r w:rsidR="00AB5C38">
        <w:t xml:space="preserve"> to oversee local</w:t>
      </w:r>
      <w:r w:rsidR="00A50394">
        <w:t xml:space="preserve"> civil protection and </w:t>
      </w:r>
      <w:r w:rsidR="00FC2076">
        <w:t>operations during a disaster</w:t>
      </w:r>
      <w:r w:rsidRPr="00DE1BD4">
        <w:t>.</w:t>
      </w:r>
    </w:p>
    <w:p w14:paraId="4D68BCFA" w14:textId="7CC5DEBF" w:rsidR="004E5E27" w:rsidRPr="00DE1BD4" w:rsidRDefault="004E5E27" w:rsidP="005E7160">
      <w:pPr>
        <w:pStyle w:val="Heading3"/>
      </w:pPr>
      <w:bookmarkStart w:id="90" w:name="_Toc181885772"/>
      <w:bookmarkStart w:id="91" w:name="_Toc36194991"/>
      <w:bookmarkStart w:id="92" w:name="_Toc90825948"/>
      <w:bookmarkStart w:id="93" w:name="_Toc91172599"/>
      <w:bookmarkStart w:id="94" w:name="_Toc91185486"/>
      <w:r w:rsidRPr="00DE1BD4">
        <w:t>Disaster Declaration or State of Public Emergency</w:t>
      </w:r>
      <w:bookmarkEnd w:id="90"/>
    </w:p>
    <w:p w14:paraId="4DFF3CAC" w14:textId="487A3C0C" w:rsidR="006F0062" w:rsidRPr="00DE1BD4" w:rsidRDefault="006F0062" w:rsidP="006F0062">
      <w:r w:rsidRPr="00DE1BD4">
        <w:t>The ACT provides</w:t>
      </w:r>
      <w:r w:rsidR="00F80137">
        <w:t xml:space="preserve"> </w:t>
      </w:r>
      <w:r w:rsidRPr="00DE1BD4">
        <w:t xml:space="preserve">the </w:t>
      </w:r>
      <w:r w:rsidR="00F80137">
        <w:t>President of The Gambia</w:t>
      </w:r>
      <w:r w:rsidR="00885B44">
        <w:t xml:space="preserve"> </w:t>
      </w:r>
      <w:r w:rsidR="00333174" w:rsidRPr="00DE1BD4">
        <w:t>with the power t</w:t>
      </w:r>
      <w:r w:rsidR="00312875" w:rsidRPr="00DE1BD4">
        <w:t xml:space="preserve">o </w:t>
      </w:r>
      <w:r w:rsidR="00885B44">
        <w:t xml:space="preserve">declare a </w:t>
      </w:r>
      <w:r w:rsidR="00A35E49">
        <w:t>S</w:t>
      </w:r>
      <w:r w:rsidR="00885B44">
        <w:t xml:space="preserve">tate of </w:t>
      </w:r>
      <w:r w:rsidR="00A35E49">
        <w:t xml:space="preserve">Emergency. </w:t>
      </w:r>
      <w:r w:rsidR="00134598">
        <w:t xml:space="preserve">The Act notes that the </w:t>
      </w:r>
      <w:r w:rsidR="00073640">
        <w:t xml:space="preserve">Presidente must be satisfied with the advice of the </w:t>
      </w:r>
      <w:r w:rsidR="00134598">
        <w:t xml:space="preserve">NDMC </w:t>
      </w:r>
      <w:r w:rsidR="00073640">
        <w:t xml:space="preserve">with respect </w:t>
      </w:r>
      <w:r w:rsidR="002C24CE">
        <w:t>to</w:t>
      </w:r>
      <w:r w:rsidR="00073640">
        <w:t xml:space="preserve"> </w:t>
      </w:r>
      <w:r w:rsidR="002C24CE">
        <w:t>the</w:t>
      </w:r>
      <w:r w:rsidR="00073640">
        <w:t xml:space="preserve"> calling of a State of Emergency</w:t>
      </w:r>
      <w:r w:rsidR="00355B8F" w:rsidRPr="0045782B">
        <w:rPr>
          <w:rStyle w:val="FootnoteReference"/>
        </w:rPr>
        <w:footnoteReference w:id="18"/>
      </w:r>
      <w:r w:rsidR="00EE1A2F">
        <w:t>.</w:t>
      </w:r>
    </w:p>
    <w:p w14:paraId="0B48F2DA" w14:textId="4E1AE54B" w:rsidR="0010725D" w:rsidRPr="00DE1BD4" w:rsidRDefault="0010725D" w:rsidP="005E7160">
      <w:pPr>
        <w:pStyle w:val="Heading3"/>
      </w:pPr>
      <w:bookmarkStart w:id="95" w:name="_Toc181885773"/>
      <w:bookmarkEnd w:id="91"/>
      <w:bookmarkEnd w:id="92"/>
      <w:bookmarkEnd w:id="93"/>
      <w:bookmarkEnd w:id="94"/>
      <w:r w:rsidRPr="00DE1BD4">
        <w:t>National Disaster Fund</w:t>
      </w:r>
      <w:bookmarkEnd w:id="95"/>
    </w:p>
    <w:p w14:paraId="12EFDD0F" w14:textId="0F87D5F4" w:rsidR="0010725D" w:rsidRPr="00DE1BD4" w:rsidRDefault="002D1DA9" w:rsidP="0010725D">
      <w:r w:rsidRPr="00DE1BD4">
        <w:t xml:space="preserve">The Act </w:t>
      </w:r>
      <w:r w:rsidR="00355B8F">
        <w:t xml:space="preserve">requires the NDMA to </w:t>
      </w:r>
      <w:r w:rsidRPr="00DE1BD4">
        <w:t xml:space="preserve">establish the </w:t>
      </w:r>
      <w:r w:rsidR="00355B8F">
        <w:t xml:space="preserve">National </w:t>
      </w:r>
      <w:r w:rsidRPr="00DE1BD4">
        <w:t>Disaster</w:t>
      </w:r>
      <w:r w:rsidR="00597C78" w:rsidRPr="00DE1BD4">
        <w:t xml:space="preserve"> </w:t>
      </w:r>
      <w:r w:rsidRPr="00DE1BD4">
        <w:t>Fund</w:t>
      </w:r>
      <w:r w:rsidR="00355B8F" w:rsidRPr="0045782B">
        <w:rPr>
          <w:rStyle w:val="FootnoteReference"/>
        </w:rPr>
        <w:footnoteReference w:id="19"/>
      </w:r>
      <w:r w:rsidRPr="00DE1BD4">
        <w:t>, designed for the purpose</w:t>
      </w:r>
      <w:r w:rsidR="007E796D" w:rsidRPr="00DE1BD4">
        <w:t xml:space="preserve"> of a contingency fund for the development and </w:t>
      </w:r>
      <w:r w:rsidR="00403A4F" w:rsidRPr="00DE1BD4">
        <w:t xml:space="preserve">promotion of DRM </w:t>
      </w:r>
      <w:r w:rsidR="000211E5" w:rsidRPr="00DE1BD4">
        <w:t xml:space="preserve">as well as provision of commodities and relief as part of a disaster situation </w:t>
      </w:r>
      <w:r w:rsidR="00403A4F" w:rsidRPr="00DE1BD4">
        <w:t xml:space="preserve">in </w:t>
      </w:r>
      <w:r w:rsidR="00FE2611">
        <w:t>The Gambia</w:t>
      </w:r>
      <w:r w:rsidR="00403A4F" w:rsidRPr="00DE1BD4">
        <w:t>.</w:t>
      </w:r>
    </w:p>
    <w:p w14:paraId="276C6173" w14:textId="5161BC55" w:rsidR="006D3995" w:rsidRPr="00DE1BD4" w:rsidRDefault="006D3995" w:rsidP="006D3995">
      <w:pPr>
        <w:pStyle w:val="Heading2"/>
      </w:pPr>
      <w:bookmarkStart w:id="96" w:name="_Toc181885774"/>
      <w:bookmarkStart w:id="97" w:name="_Hlk168146900"/>
      <w:r w:rsidRPr="00DE1BD4">
        <w:t xml:space="preserve">Customs </w:t>
      </w:r>
      <w:r w:rsidR="00C87AA6">
        <w:t>and Excise Act</w:t>
      </w:r>
      <w:bookmarkEnd w:id="96"/>
    </w:p>
    <w:p w14:paraId="123AFA37" w14:textId="40A1C12D" w:rsidR="00755E59" w:rsidRDefault="006D3995" w:rsidP="006D3995">
      <w:pPr>
        <w:rPr>
          <w:rFonts w:asciiTheme="minorHAnsi" w:hAnsiTheme="minorHAnsi" w:cstheme="minorHAnsi"/>
        </w:rPr>
      </w:pPr>
      <w:r w:rsidRPr="00DE1BD4">
        <w:rPr>
          <w:rFonts w:asciiTheme="minorHAnsi" w:hAnsiTheme="minorHAnsi" w:cstheme="minorHAnsi"/>
        </w:rPr>
        <w:t>The</w:t>
      </w:r>
      <w:r w:rsidR="00F726E7">
        <w:rPr>
          <w:rFonts w:asciiTheme="minorHAnsi" w:hAnsiTheme="minorHAnsi" w:cstheme="minorHAnsi"/>
        </w:rPr>
        <w:t xml:space="preserve">re are no specific provisions under the </w:t>
      </w:r>
      <w:r w:rsidR="00D618F5">
        <w:rPr>
          <w:rFonts w:asciiTheme="minorHAnsi" w:hAnsiTheme="minorHAnsi" w:cstheme="minorHAnsi"/>
        </w:rPr>
        <w:t xml:space="preserve">National Disaster Management Act relating to customs arrangements and these arrangements </w:t>
      </w:r>
      <w:r w:rsidR="00D618F5" w:rsidRPr="00DE1BD4">
        <w:rPr>
          <w:rFonts w:asciiTheme="minorHAnsi" w:hAnsiTheme="minorHAnsi" w:cstheme="minorHAnsi"/>
        </w:rPr>
        <w:t>for</w:t>
      </w:r>
      <w:r w:rsidR="00D618F5">
        <w:rPr>
          <w:rFonts w:asciiTheme="minorHAnsi" w:hAnsiTheme="minorHAnsi" w:cstheme="minorHAnsi"/>
        </w:rPr>
        <w:t xml:space="preserve"> the importation of relief goods</w:t>
      </w:r>
      <w:r w:rsidR="00D618F5" w:rsidRPr="00DE1BD4">
        <w:rPr>
          <w:rFonts w:asciiTheme="minorHAnsi" w:hAnsiTheme="minorHAnsi" w:cstheme="minorHAnsi"/>
        </w:rPr>
        <w:t xml:space="preserve"> </w:t>
      </w:r>
      <w:r w:rsidR="00D618F5">
        <w:rPr>
          <w:rFonts w:asciiTheme="minorHAnsi" w:hAnsiTheme="minorHAnsi" w:cstheme="minorHAnsi"/>
        </w:rPr>
        <w:t xml:space="preserve">may be governed by the </w:t>
      </w:r>
      <w:r w:rsidRPr="00DE1BD4">
        <w:rPr>
          <w:rFonts w:asciiTheme="minorHAnsi" w:hAnsiTheme="minorHAnsi" w:cstheme="minorHAnsi"/>
        </w:rPr>
        <w:t>Customs</w:t>
      </w:r>
      <w:bookmarkEnd w:id="97"/>
      <w:r w:rsidR="00C87AA6">
        <w:rPr>
          <w:rFonts w:asciiTheme="minorHAnsi" w:hAnsiTheme="minorHAnsi" w:cstheme="minorHAnsi"/>
        </w:rPr>
        <w:t xml:space="preserve"> and Excise Act</w:t>
      </w:r>
      <w:r w:rsidR="006F3FA3">
        <w:rPr>
          <w:rFonts w:asciiTheme="minorHAnsi" w:hAnsiTheme="minorHAnsi" w:cstheme="minorHAnsi"/>
        </w:rPr>
        <w:t xml:space="preserve"> </w:t>
      </w:r>
      <w:r w:rsidR="005F32C0">
        <w:rPr>
          <w:rFonts w:asciiTheme="minorHAnsi" w:hAnsiTheme="minorHAnsi" w:cstheme="minorHAnsi"/>
        </w:rPr>
        <w:t>2010</w:t>
      </w:r>
      <w:r w:rsidR="00D618F5" w:rsidRPr="0045782B">
        <w:rPr>
          <w:rStyle w:val="FootnoteReference"/>
        </w:rPr>
        <w:footnoteReference w:id="20"/>
      </w:r>
      <w:r w:rsidR="00507E8D">
        <w:rPr>
          <w:rFonts w:asciiTheme="minorHAnsi" w:hAnsiTheme="minorHAnsi" w:cstheme="minorHAnsi"/>
        </w:rPr>
        <w:t xml:space="preserve">.  The Customs and Excise Act 2010, provides for the management of </w:t>
      </w:r>
      <w:r w:rsidR="00F1418B">
        <w:rPr>
          <w:rFonts w:asciiTheme="minorHAnsi" w:hAnsiTheme="minorHAnsi" w:cstheme="minorHAnsi"/>
        </w:rPr>
        <w:t xml:space="preserve">and assessment of customs duties on goods </w:t>
      </w:r>
      <w:r w:rsidR="00557A0C">
        <w:rPr>
          <w:rFonts w:asciiTheme="minorHAnsi" w:hAnsiTheme="minorHAnsi" w:cstheme="minorHAnsi"/>
        </w:rPr>
        <w:t>coming</w:t>
      </w:r>
      <w:r w:rsidR="00F1418B">
        <w:rPr>
          <w:rFonts w:asciiTheme="minorHAnsi" w:hAnsiTheme="minorHAnsi" w:cstheme="minorHAnsi"/>
        </w:rPr>
        <w:t xml:space="preserve"> into the country. The</w:t>
      </w:r>
      <w:r w:rsidR="00557A0C">
        <w:rPr>
          <w:rFonts w:asciiTheme="minorHAnsi" w:hAnsiTheme="minorHAnsi" w:cstheme="minorHAnsi"/>
        </w:rPr>
        <w:t>se duties may be waived i</w:t>
      </w:r>
      <w:r w:rsidR="006C29DE">
        <w:rPr>
          <w:rFonts w:asciiTheme="minorHAnsi" w:hAnsiTheme="minorHAnsi" w:cstheme="minorHAnsi"/>
        </w:rPr>
        <w:t>f the Minister of Finance and Economic Affairs deems th</w:t>
      </w:r>
      <w:r w:rsidR="00A846DB">
        <w:rPr>
          <w:rFonts w:asciiTheme="minorHAnsi" w:hAnsiTheme="minorHAnsi" w:cstheme="minorHAnsi"/>
        </w:rPr>
        <w:t xml:space="preserve">e goods in the public </w:t>
      </w:r>
      <w:r w:rsidR="00031FF3">
        <w:rPr>
          <w:rFonts w:asciiTheme="minorHAnsi" w:hAnsiTheme="minorHAnsi" w:cstheme="minorHAnsi"/>
        </w:rPr>
        <w:t>interest</w:t>
      </w:r>
      <w:r w:rsidR="00A846DB" w:rsidRPr="0045782B">
        <w:rPr>
          <w:rStyle w:val="FootnoteReference"/>
        </w:rPr>
        <w:footnoteReference w:id="21"/>
      </w:r>
      <w:r w:rsidR="00031FF3">
        <w:rPr>
          <w:rFonts w:asciiTheme="minorHAnsi" w:hAnsiTheme="minorHAnsi" w:cstheme="minorHAnsi"/>
        </w:rPr>
        <w:t>. There is no definition of “public interest”</w:t>
      </w:r>
      <w:r w:rsidR="0000030C">
        <w:rPr>
          <w:rFonts w:asciiTheme="minorHAnsi" w:hAnsiTheme="minorHAnsi" w:cstheme="minorHAnsi"/>
        </w:rPr>
        <w:t xml:space="preserve"> but the interpretation could be applied to disaster relief.</w:t>
      </w:r>
      <w:r w:rsidR="00B57DBB">
        <w:rPr>
          <w:rFonts w:asciiTheme="minorHAnsi" w:hAnsiTheme="minorHAnsi" w:cstheme="minorHAnsi"/>
        </w:rPr>
        <w:t xml:space="preserve"> </w:t>
      </w:r>
    </w:p>
    <w:p w14:paraId="45A99096" w14:textId="3F29C985" w:rsidR="00A4616A" w:rsidRDefault="00A4616A" w:rsidP="00A4616A">
      <w:pPr>
        <w:pStyle w:val="Heading2"/>
      </w:pPr>
      <w:bookmarkStart w:id="98" w:name="_Toc181885775"/>
      <w:r>
        <w:t>National Climate Change Policy</w:t>
      </w:r>
      <w:bookmarkEnd w:id="98"/>
    </w:p>
    <w:p w14:paraId="6811D34D" w14:textId="49CF9D38" w:rsidR="003C77D2" w:rsidRDefault="003C77D2" w:rsidP="003C77D2">
      <w:r>
        <w:t>Climate change effects are evident in The Gambia, including increasing average temperatures and a rainfall regime that is decreasing in amount while increasing in variability. These changes affect the economy: increased flooding damages roads and infrastructure, decreased agricultural production reduces food security, and increasing heat and dryness threaten people’s health</w:t>
      </w:r>
      <w:r w:rsidR="003A47FA">
        <w:t xml:space="preserve">; and the population leading to </w:t>
      </w:r>
      <w:r>
        <w:t>high</w:t>
      </w:r>
      <w:r w:rsidR="003A47FA">
        <w:t>er</w:t>
      </w:r>
      <w:r>
        <w:t xml:space="preserve"> levels of poverty</w:t>
      </w:r>
      <w:r w:rsidR="003A47FA">
        <w:rPr>
          <w:rStyle w:val="FootnoteReference"/>
        </w:rPr>
        <w:footnoteReference w:id="22"/>
      </w:r>
      <w:r>
        <w:t>.</w:t>
      </w:r>
    </w:p>
    <w:p w14:paraId="72F2D7F4" w14:textId="41257EA1" w:rsidR="003638E7" w:rsidRDefault="007D7091" w:rsidP="003C77D2">
      <w:r>
        <w:t xml:space="preserve">This National Climate Change Policy </w:t>
      </w:r>
      <w:r w:rsidR="007B4F06">
        <w:t>has been</w:t>
      </w:r>
      <w:r>
        <w:t xml:space="preserve"> developed </w:t>
      </w:r>
      <w:r w:rsidR="007B4F06">
        <w:t xml:space="preserve">to </w:t>
      </w:r>
      <w:r w:rsidR="003C77D2">
        <w:t>responded to the emerging climate threats, albeit largely through project-driven responses, given resource constraints, and within a fragmented policy context. The Policy sets in place enhanced institutional arrangements for coordination and mainstreaming, outlines a new integrated approach to resource mobilisation, and develops a clear policy direction for human resource development</w:t>
      </w:r>
      <w:r w:rsidR="003638E7">
        <w:t>.</w:t>
      </w:r>
    </w:p>
    <w:p w14:paraId="731FA08A" w14:textId="4135A199" w:rsidR="00584454" w:rsidRDefault="003638E7" w:rsidP="003638E7">
      <w:r>
        <w:t>The</w:t>
      </w:r>
      <w:r w:rsidR="00584454">
        <w:t xml:space="preserve"> key </w:t>
      </w:r>
      <w:r>
        <w:t>objectives of the Policy</w:t>
      </w:r>
      <w:r w:rsidR="00584454">
        <w:t xml:space="preserve"> are</w:t>
      </w:r>
      <w:r w:rsidR="00962CF6">
        <w:rPr>
          <w:rStyle w:val="FootnoteReference"/>
        </w:rPr>
        <w:footnoteReference w:id="23"/>
      </w:r>
      <w:r>
        <w:t>:</w:t>
      </w:r>
    </w:p>
    <w:p w14:paraId="2AA42826" w14:textId="1F5EBA8E" w:rsidR="003638E7" w:rsidRDefault="00584454" w:rsidP="00584454">
      <w:pPr>
        <w:pStyle w:val="ListParagraph"/>
        <w:numPr>
          <w:ilvl w:val="0"/>
          <w:numId w:val="57"/>
        </w:numPr>
      </w:pPr>
      <w:r>
        <w:t>A</w:t>
      </w:r>
      <w:r w:rsidR="003638E7">
        <w:t>dvance the understanding, capacity and social empowerment of all Gambians so that they can adequately respond to climate change.</w:t>
      </w:r>
    </w:p>
    <w:p w14:paraId="51C548F4" w14:textId="77777777" w:rsidR="00152FB9" w:rsidRDefault="003638E7" w:rsidP="00DD3D23">
      <w:pPr>
        <w:pStyle w:val="ListParagraph"/>
        <w:numPr>
          <w:ilvl w:val="0"/>
          <w:numId w:val="57"/>
        </w:numPr>
      </w:pPr>
      <w:r>
        <w:t>Ensure adequate climate change research for informed decision making, and promote timely access to climate information and early warning of climate risks</w:t>
      </w:r>
    </w:p>
    <w:p w14:paraId="657FA5D3" w14:textId="77777777" w:rsidR="00152FB9" w:rsidRDefault="003638E7" w:rsidP="00827D33">
      <w:pPr>
        <w:pStyle w:val="ListParagraph"/>
        <w:numPr>
          <w:ilvl w:val="0"/>
          <w:numId w:val="57"/>
        </w:numPr>
      </w:pPr>
      <w:r>
        <w:t>Put in place sound and equitable adaptation and mitigation measures that promote effective management of ecosystems and biodiversity, reduce vulnerability to climate change impacts, and reduce greenhouse gas emissions, to achieve sustainable low-carbon socio-economic development.</w:t>
      </w:r>
    </w:p>
    <w:p w14:paraId="75589532" w14:textId="481871D9" w:rsidR="00152FB9" w:rsidRDefault="003638E7" w:rsidP="00193065">
      <w:pPr>
        <w:pStyle w:val="ListParagraph"/>
        <w:numPr>
          <w:ilvl w:val="0"/>
          <w:numId w:val="57"/>
        </w:numPr>
      </w:pPr>
      <w:r>
        <w:t>Effectively integrate climate change into all sectors and across all scales, through mainstreaming climate risks and opportunities into national and sectoral frameworks, and through effective policy coordination and implementation.</w:t>
      </w:r>
    </w:p>
    <w:p w14:paraId="2571E379" w14:textId="7C71A22F" w:rsidR="00152FB9" w:rsidRDefault="003638E7" w:rsidP="00505CB1">
      <w:pPr>
        <w:pStyle w:val="ListParagraph"/>
        <w:numPr>
          <w:ilvl w:val="0"/>
          <w:numId w:val="57"/>
        </w:numPr>
      </w:pPr>
      <w:r>
        <w:t>Build the resilience of communities and ensure health and welfare through participatory, equitable and pro-poor approaches to climate change that emphasise the meaningful inclusion of women and vulnerable groups.</w:t>
      </w:r>
    </w:p>
    <w:p w14:paraId="3B085740" w14:textId="3839150A" w:rsidR="00152FB9" w:rsidRDefault="003638E7" w:rsidP="00396A23">
      <w:pPr>
        <w:pStyle w:val="ListParagraph"/>
        <w:numPr>
          <w:ilvl w:val="0"/>
          <w:numId w:val="57"/>
        </w:numPr>
      </w:pPr>
      <w:r>
        <w:t>Integrate community-based adaptation with ecosystem-based approaches to strengthen people’s adaptive capacities and develop more climate-resilient livelihoods, by investing in sustainable natural resource management initiatives.</w:t>
      </w:r>
    </w:p>
    <w:p w14:paraId="58E01B00" w14:textId="280D0923" w:rsidR="00C15255" w:rsidRPr="00C15255" w:rsidRDefault="003638E7" w:rsidP="00396A23">
      <w:pPr>
        <w:pStyle w:val="ListParagraph"/>
        <w:numPr>
          <w:ilvl w:val="0"/>
          <w:numId w:val="57"/>
        </w:numPr>
      </w:pPr>
      <w:r>
        <w:t>Coordinate national and international financial resource mobilization to address climate change by mainstreaming climate finance readiness and identifying, developing and promoting innovative financing mechanisms.</w:t>
      </w:r>
    </w:p>
    <w:p w14:paraId="73185DD7" w14:textId="5D02B11A" w:rsidR="00A4616A" w:rsidRPr="00A4616A" w:rsidRDefault="009A49E4" w:rsidP="00A4616A">
      <w:r>
        <w:t xml:space="preserve">There is no mention of utilising ICT </w:t>
      </w:r>
      <w:r w:rsidR="009E29C2">
        <w:t>in this policy.</w:t>
      </w:r>
      <w:r w:rsidR="00067AE7">
        <w:t xml:space="preserve"> There is mention of </w:t>
      </w:r>
      <w:r w:rsidR="0093405B">
        <w:t xml:space="preserve">The Gambia </w:t>
      </w:r>
      <w:r w:rsidR="00E0017F">
        <w:t xml:space="preserve">pursuing areas of cooperation in early warning systems and emergency </w:t>
      </w:r>
      <w:r w:rsidR="0041130B">
        <w:t>preparedness</w:t>
      </w:r>
      <w:r w:rsidR="0041130B">
        <w:rPr>
          <w:rStyle w:val="FootnoteReference"/>
        </w:rPr>
        <w:footnoteReference w:id="24"/>
      </w:r>
      <w:r w:rsidR="0041130B">
        <w:t>.</w:t>
      </w:r>
    </w:p>
    <w:p w14:paraId="7002637F" w14:textId="77777777" w:rsidR="00177F1D" w:rsidRPr="00DE1BD4" w:rsidRDefault="00177F1D" w:rsidP="00177F1D">
      <w:pPr>
        <w:rPr>
          <w:rFonts w:asciiTheme="minorHAnsi" w:hAnsiTheme="minorHAnsi" w:cstheme="minorHAnsi"/>
          <w:b/>
          <w:bCs/>
          <w:i/>
          <w:iCs/>
        </w:rPr>
      </w:pPr>
      <w:r w:rsidRPr="00DE1BD4">
        <w:rPr>
          <w:rFonts w:asciiTheme="minorHAnsi" w:hAnsiTheme="minorHAnsi" w:cstheme="minorHAnsi"/>
          <w:b/>
          <w:bCs/>
          <w:i/>
          <w:iCs/>
        </w:rPr>
        <w:t>Implementation Task 1</w:t>
      </w:r>
    </w:p>
    <w:p w14:paraId="0F480D40" w14:textId="1C1C5000" w:rsidR="0091111C" w:rsidRPr="0091111C" w:rsidRDefault="0091111C" w:rsidP="0091111C">
      <w:pPr>
        <w:rPr>
          <w:rFonts w:asciiTheme="minorHAnsi" w:hAnsiTheme="minorHAnsi" w:cstheme="minorHAnsi"/>
          <w:i/>
          <w:iCs/>
        </w:rPr>
      </w:pPr>
      <w:r w:rsidRPr="0091111C">
        <w:rPr>
          <w:rFonts w:asciiTheme="minorHAnsi" w:hAnsiTheme="minorHAnsi" w:cstheme="minorHAnsi"/>
          <w:i/>
          <w:iCs/>
        </w:rPr>
        <w:t>It is clear that, at least at this legislative and policy level, DRR has been actively considered and attempts have been made to provide for the mainstreaming of DRR at all levels in various sectors. For the most part, the legislation, policies and plans are outdated and require review and enhancement to address any shortcomings when considered against best practice examples.</w:t>
      </w:r>
    </w:p>
    <w:p w14:paraId="5A311376" w14:textId="77777777" w:rsidR="0091111C" w:rsidRPr="0091111C" w:rsidRDefault="0091111C" w:rsidP="0091111C">
      <w:pPr>
        <w:rPr>
          <w:rFonts w:asciiTheme="minorHAnsi" w:hAnsiTheme="minorHAnsi" w:cstheme="minorHAnsi"/>
          <w:i/>
          <w:iCs/>
        </w:rPr>
      </w:pPr>
      <w:r w:rsidRPr="0091111C">
        <w:rPr>
          <w:rFonts w:asciiTheme="minorHAnsi" w:hAnsiTheme="minorHAnsi" w:cstheme="minorHAnsi"/>
          <w:i/>
          <w:iCs/>
        </w:rPr>
        <w:t>The opportunities for enhancement should consider</w:t>
      </w:r>
    </w:p>
    <w:p w14:paraId="27C46D16" w14:textId="1FC76E97" w:rsidR="0091111C" w:rsidRPr="0091111C" w:rsidRDefault="0091111C" w:rsidP="00963CF3">
      <w:pPr>
        <w:pStyle w:val="ListParagraph"/>
        <w:numPr>
          <w:ilvl w:val="0"/>
          <w:numId w:val="50"/>
        </w:numPr>
        <w:rPr>
          <w:rFonts w:asciiTheme="minorHAnsi" w:hAnsiTheme="minorHAnsi" w:cstheme="minorHAnsi"/>
          <w:i/>
          <w:iCs/>
        </w:rPr>
      </w:pPr>
      <w:r w:rsidRPr="0091111C">
        <w:rPr>
          <w:rFonts w:asciiTheme="minorHAnsi" w:hAnsiTheme="minorHAnsi" w:cstheme="minorHAnsi"/>
          <w:i/>
          <w:iCs/>
        </w:rPr>
        <w:t>The role of Information Technology and Communications within the DRM framework and particularly with respect to defining and leading these sectors during a disaster situation</w:t>
      </w:r>
      <w:r w:rsidR="004340CC">
        <w:rPr>
          <w:rFonts w:asciiTheme="minorHAnsi" w:hAnsiTheme="minorHAnsi" w:cstheme="minorHAnsi"/>
          <w:i/>
          <w:iCs/>
        </w:rPr>
        <w:t>.</w:t>
      </w:r>
      <w:r w:rsidRPr="0091111C">
        <w:rPr>
          <w:rFonts w:asciiTheme="minorHAnsi" w:hAnsiTheme="minorHAnsi" w:cstheme="minorHAnsi"/>
          <w:i/>
          <w:iCs/>
        </w:rPr>
        <w:t xml:space="preserve"> </w:t>
      </w:r>
    </w:p>
    <w:p w14:paraId="3599A8F4" w14:textId="77777777" w:rsidR="0091111C" w:rsidRPr="0091111C" w:rsidRDefault="0091111C" w:rsidP="00963CF3">
      <w:pPr>
        <w:pStyle w:val="ListParagraph"/>
        <w:numPr>
          <w:ilvl w:val="0"/>
          <w:numId w:val="50"/>
        </w:numPr>
        <w:rPr>
          <w:rFonts w:asciiTheme="minorHAnsi" w:hAnsiTheme="minorHAnsi" w:cstheme="minorHAnsi"/>
          <w:i/>
          <w:iCs/>
        </w:rPr>
      </w:pPr>
      <w:r w:rsidRPr="0091111C">
        <w:rPr>
          <w:rFonts w:asciiTheme="minorHAnsi" w:hAnsiTheme="minorHAnsi" w:cstheme="minorHAnsi"/>
          <w:i/>
          <w:iCs/>
        </w:rPr>
        <w:t>Stronger policy and regulation on the implementation of early warning systems.</w:t>
      </w:r>
    </w:p>
    <w:p w14:paraId="62F368D0" w14:textId="020548D3" w:rsidR="0091111C" w:rsidRDefault="0091111C" w:rsidP="00963CF3">
      <w:pPr>
        <w:pStyle w:val="ListParagraph"/>
        <w:numPr>
          <w:ilvl w:val="0"/>
          <w:numId w:val="50"/>
        </w:numPr>
        <w:rPr>
          <w:rFonts w:asciiTheme="minorHAnsi" w:hAnsiTheme="minorHAnsi" w:cstheme="minorHAnsi"/>
          <w:i/>
          <w:iCs/>
        </w:rPr>
      </w:pPr>
      <w:r w:rsidRPr="0091111C">
        <w:rPr>
          <w:rFonts w:asciiTheme="minorHAnsi" w:hAnsiTheme="minorHAnsi" w:cstheme="minorHAnsi"/>
          <w:i/>
          <w:iCs/>
        </w:rPr>
        <w:t xml:space="preserve">Stronger policy surrounding agencies implementing monitoring systems to ensure that the </w:t>
      </w:r>
      <w:r w:rsidR="00916E7D">
        <w:rPr>
          <w:rFonts w:asciiTheme="minorHAnsi" w:hAnsiTheme="minorHAnsi" w:cstheme="minorHAnsi"/>
          <w:i/>
          <w:iCs/>
        </w:rPr>
        <w:t>NDMA</w:t>
      </w:r>
      <w:r w:rsidRPr="0091111C">
        <w:rPr>
          <w:rFonts w:asciiTheme="minorHAnsi" w:hAnsiTheme="minorHAnsi" w:cstheme="minorHAnsi"/>
          <w:i/>
          <w:iCs/>
        </w:rPr>
        <w:t xml:space="preserve"> is notified of such systems</w:t>
      </w:r>
      <w:r w:rsidR="004340CC">
        <w:rPr>
          <w:rFonts w:asciiTheme="minorHAnsi" w:hAnsiTheme="minorHAnsi" w:cstheme="minorHAnsi"/>
          <w:i/>
          <w:iCs/>
        </w:rPr>
        <w:t>.</w:t>
      </w:r>
    </w:p>
    <w:p w14:paraId="09399F52" w14:textId="2EC27981" w:rsidR="004340CC" w:rsidRPr="0091111C" w:rsidRDefault="004420C8" w:rsidP="00963CF3">
      <w:pPr>
        <w:pStyle w:val="ListParagraph"/>
        <w:numPr>
          <w:ilvl w:val="0"/>
          <w:numId w:val="50"/>
        </w:numPr>
        <w:rPr>
          <w:rFonts w:asciiTheme="minorHAnsi" w:hAnsiTheme="minorHAnsi" w:cstheme="minorHAnsi"/>
          <w:i/>
          <w:iCs/>
        </w:rPr>
      </w:pPr>
      <w:r>
        <w:rPr>
          <w:rFonts w:asciiTheme="minorHAnsi" w:hAnsiTheme="minorHAnsi" w:cstheme="minorHAnsi"/>
          <w:i/>
          <w:iCs/>
        </w:rPr>
        <w:t>Clarity</w:t>
      </w:r>
      <w:r w:rsidR="004340CC">
        <w:rPr>
          <w:rFonts w:asciiTheme="minorHAnsi" w:hAnsiTheme="minorHAnsi" w:cstheme="minorHAnsi"/>
          <w:i/>
          <w:iCs/>
        </w:rPr>
        <w:t xml:space="preserve"> with respect to duty exemptions for disaster relief goods and materials</w:t>
      </w:r>
    </w:p>
    <w:p w14:paraId="2F08DB0A" w14:textId="40EA6994" w:rsidR="0091111C" w:rsidRPr="0091111C" w:rsidRDefault="0091111C" w:rsidP="00963CF3">
      <w:pPr>
        <w:pStyle w:val="ListParagraph"/>
        <w:numPr>
          <w:ilvl w:val="0"/>
          <w:numId w:val="50"/>
        </w:numPr>
        <w:rPr>
          <w:rFonts w:asciiTheme="minorHAnsi" w:hAnsiTheme="minorHAnsi" w:cstheme="minorHAnsi"/>
          <w:i/>
          <w:iCs/>
        </w:rPr>
      </w:pPr>
      <w:r w:rsidRPr="0091111C">
        <w:rPr>
          <w:rFonts w:asciiTheme="minorHAnsi" w:hAnsiTheme="minorHAnsi" w:cstheme="minorHAnsi"/>
          <w:i/>
          <w:iCs/>
        </w:rPr>
        <w:t>Stronger community involvement</w:t>
      </w:r>
      <w:r w:rsidR="004340CC">
        <w:rPr>
          <w:rFonts w:asciiTheme="minorHAnsi" w:hAnsiTheme="minorHAnsi" w:cstheme="minorHAnsi"/>
          <w:i/>
          <w:iCs/>
        </w:rPr>
        <w:t>.</w:t>
      </w:r>
    </w:p>
    <w:p w14:paraId="01C7E28E" w14:textId="77777777" w:rsidR="0091111C" w:rsidRPr="0091111C" w:rsidRDefault="0091111C" w:rsidP="00963CF3">
      <w:pPr>
        <w:pStyle w:val="ListParagraph"/>
        <w:numPr>
          <w:ilvl w:val="0"/>
          <w:numId w:val="50"/>
        </w:numPr>
        <w:rPr>
          <w:rFonts w:asciiTheme="minorHAnsi" w:hAnsiTheme="minorHAnsi" w:cstheme="minorHAnsi"/>
          <w:i/>
          <w:iCs/>
        </w:rPr>
      </w:pPr>
      <w:r w:rsidRPr="0091111C">
        <w:rPr>
          <w:rFonts w:asciiTheme="minorHAnsi" w:hAnsiTheme="minorHAnsi" w:cstheme="minorHAnsi"/>
          <w:i/>
          <w:iCs/>
        </w:rPr>
        <w:t>Consideration of the role of woman and those disadvantaged.</w:t>
      </w:r>
    </w:p>
    <w:p w14:paraId="3C755C94" w14:textId="11AAF6BC" w:rsidR="00824A20" w:rsidRPr="0066624B" w:rsidRDefault="0091111C" w:rsidP="00177F1D">
      <w:pPr>
        <w:rPr>
          <w:rFonts w:asciiTheme="minorHAnsi" w:hAnsiTheme="minorHAnsi" w:cstheme="minorHAnsi"/>
          <w:i/>
          <w:iCs/>
        </w:rPr>
      </w:pPr>
      <w:r w:rsidRPr="0091111C">
        <w:rPr>
          <w:rFonts w:asciiTheme="minorHAnsi" w:hAnsiTheme="minorHAnsi" w:cstheme="minorHAnsi"/>
          <w:i/>
          <w:iCs/>
        </w:rPr>
        <w:t>As an implementation task the NDMA should consider a holistic review of the DRM framework, legislation and policies and compare against best practice examples</w:t>
      </w:r>
      <w:r w:rsidR="00A373B2" w:rsidRPr="007B3261">
        <w:rPr>
          <w:rFonts w:asciiTheme="minorHAnsi" w:hAnsiTheme="minorHAnsi" w:cstheme="minorHAnsi"/>
          <w:i/>
          <w:iCs/>
        </w:rPr>
        <w:t>.</w:t>
      </w:r>
    </w:p>
    <w:p w14:paraId="2E7A28B6" w14:textId="77777777" w:rsidR="0098488B" w:rsidRDefault="0098488B" w:rsidP="00177F1D">
      <w:pPr>
        <w:rPr>
          <w:rFonts w:asciiTheme="minorHAnsi" w:hAnsiTheme="minorHAnsi" w:cstheme="minorHAnsi"/>
        </w:rPr>
      </w:pPr>
    </w:p>
    <w:p w14:paraId="158D9590" w14:textId="435F8BD4" w:rsidR="0091111C" w:rsidRDefault="0091111C">
      <w:pPr>
        <w:jc w:val="left"/>
        <w:rPr>
          <w:rFonts w:asciiTheme="minorHAnsi" w:hAnsiTheme="minorHAnsi" w:cstheme="minorHAnsi"/>
        </w:rPr>
      </w:pPr>
      <w:r>
        <w:rPr>
          <w:rFonts w:asciiTheme="minorHAnsi" w:hAnsiTheme="minorHAnsi" w:cstheme="minorHAnsi"/>
        </w:rPr>
        <w:br w:type="page"/>
      </w:r>
    </w:p>
    <w:p w14:paraId="393A5C06" w14:textId="337AB04B" w:rsidR="00177F1D" w:rsidRPr="00DE1BD4" w:rsidRDefault="00177F1D" w:rsidP="00177F1D">
      <w:pPr>
        <w:pStyle w:val="Heading1"/>
      </w:pPr>
      <w:bookmarkStart w:id="99" w:name="_Toc181885776"/>
      <w:bookmarkStart w:id="100" w:name="_Ref128659134"/>
      <w:bookmarkStart w:id="101" w:name="_Ref128320782"/>
      <w:r w:rsidRPr="00DE1BD4">
        <w:t>Plans, Policies and Programs Related to Disaster Management</w:t>
      </w:r>
      <w:bookmarkEnd w:id="99"/>
    </w:p>
    <w:p w14:paraId="611CE316" w14:textId="375ECFCD" w:rsidR="006D3995" w:rsidRDefault="006D3995" w:rsidP="006D3995">
      <w:pPr>
        <w:rPr>
          <w:i/>
          <w:iCs/>
        </w:rPr>
      </w:pPr>
      <w:r w:rsidRPr="00DE1BD4">
        <w:rPr>
          <w:i/>
          <w:iCs/>
        </w:rPr>
        <w:t xml:space="preserve">Each </w:t>
      </w:r>
      <w:r w:rsidR="0091111C">
        <w:rPr>
          <w:i/>
          <w:iCs/>
        </w:rPr>
        <w:t>Countries</w:t>
      </w:r>
      <w:r w:rsidRPr="00DE1BD4">
        <w:rPr>
          <w:i/>
          <w:iCs/>
        </w:rPr>
        <w:t xml:space="preserve"> National Disaster Plan and National Emergency Telecommunications Plan should be developed or updated based on the legislation for DRM currently in force in each country.</w:t>
      </w:r>
    </w:p>
    <w:p w14:paraId="689A00D5" w14:textId="77777777" w:rsidR="00FC6EA9" w:rsidRPr="002160E7" w:rsidRDefault="00FC6EA9" w:rsidP="00FC6EA9">
      <w:pPr>
        <w:jc w:val="center"/>
        <w:rPr>
          <w:b/>
          <w:bCs/>
        </w:rPr>
      </w:pPr>
      <w:r w:rsidRPr="002160E7">
        <w:rPr>
          <w:b/>
          <w:bCs/>
          <w:highlight w:val="yellow"/>
        </w:rPr>
        <w:t>To be updated following stakeholder consultation</w:t>
      </w:r>
    </w:p>
    <w:p w14:paraId="41CF5BB9" w14:textId="650CBC2F" w:rsidR="004A74E6" w:rsidRDefault="00F37403" w:rsidP="006D3995">
      <w:r>
        <w:t>T</w:t>
      </w:r>
      <w:r w:rsidR="005F675C">
        <w:t>he Gambia</w:t>
      </w:r>
      <w:r>
        <w:t xml:space="preserve"> has </w:t>
      </w:r>
      <w:r w:rsidR="00DB40F0">
        <w:t xml:space="preserve">no developed National Emergency Telecommunications Plan (NETP) but does have </w:t>
      </w:r>
      <w:r>
        <w:t>a</w:t>
      </w:r>
      <w:r w:rsidR="00E179AF">
        <w:t xml:space="preserve">dditional </w:t>
      </w:r>
      <w:r w:rsidR="00660CFA">
        <w:t>plans, polices and programs</w:t>
      </w:r>
      <w:r>
        <w:t xml:space="preserve"> to assist in </w:t>
      </w:r>
      <w:r w:rsidR="00133448">
        <w:t>the DRM process</w:t>
      </w:r>
      <w:r w:rsidR="00660CFA">
        <w:t xml:space="preserve">. Not all have these have clearly </w:t>
      </w:r>
      <w:r w:rsidR="005027B4">
        <w:t>included ICT as a critical element of DRM and DRR.</w:t>
      </w:r>
    </w:p>
    <w:p w14:paraId="191CF145" w14:textId="149A603D" w:rsidR="003D60DC" w:rsidRDefault="003D60DC" w:rsidP="008269BC">
      <w:pPr>
        <w:pStyle w:val="Heading2"/>
      </w:pPr>
      <w:bookmarkStart w:id="102" w:name="_Toc181885777"/>
      <w:r>
        <w:t>Recovery Focused National Development Plan 2023-2027</w:t>
      </w:r>
      <w:bookmarkEnd w:id="102"/>
    </w:p>
    <w:p w14:paraId="3DB81757" w14:textId="4BA4827C" w:rsidR="003D60DC" w:rsidRDefault="0028022A" w:rsidP="0028022A">
      <w:r>
        <w:t>The Gambia’s Recovery Focused National Development Plan (RF-NDP 2023 - 2027) charts the recovery of the Gambia from COVID-19, climate change and other shocks</w:t>
      </w:r>
      <w:r w:rsidR="004C06FF">
        <w:rPr>
          <w:rStyle w:val="FootnoteReference"/>
        </w:rPr>
        <w:footnoteReference w:id="25"/>
      </w:r>
      <w:r>
        <w:t>. The approach used in the preparation of this plan is a “whole of society” one that articulates the medium-term transformational aspirations of the country.</w:t>
      </w:r>
      <w:r w:rsidR="003A43F1">
        <w:t xml:space="preserve"> </w:t>
      </w:r>
      <w:r>
        <w:t xml:space="preserve">The plan has been formulated </w:t>
      </w:r>
      <w:r w:rsidR="00456262">
        <w:t xml:space="preserve">with consideration of global </w:t>
      </w:r>
      <w:r w:rsidR="00E87F36">
        <w:t xml:space="preserve">shocks including climate change. The plan therefore </w:t>
      </w:r>
      <w:r>
        <w:t>endeavour</w:t>
      </w:r>
      <w:r w:rsidR="00E87F36">
        <w:t>s</w:t>
      </w:r>
      <w:r>
        <w:t xml:space="preserve"> to build the resilience of institutions and people in responding to these and other shocks.</w:t>
      </w:r>
    </w:p>
    <w:p w14:paraId="21639255" w14:textId="0BAD97C0" w:rsidR="005817C5" w:rsidRDefault="005817C5" w:rsidP="005817C5">
      <w:r>
        <w:t>The goal of the RF-NDP 2023-2027 is to consolidate gains in democratic governance, accelerate green economic and social transformation and build resilience to shocks and crises. This goal will be realised through three strategic objectives</w:t>
      </w:r>
      <w:r w:rsidR="00D25BB7">
        <w:rPr>
          <w:rStyle w:val="FootnoteReference"/>
        </w:rPr>
        <w:footnoteReference w:id="26"/>
      </w:r>
      <w:r>
        <w:t>:</w:t>
      </w:r>
    </w:p>
    <w:p w14:paraId="66B84FA3" w14:textId="69A7569F" w:rsidR="005817C5" w:rsidRDefault="005817C5" w:rsidP="00721A8B">
      <w:pPr>
        <w:pStyle w:val="ListParagraph"/>
        <w:numPr>
          <w:ilvl w:val="0"/>
          <w:numId w:val="59"/>
        </w:numPr>
      </w:pPr>
      <w:r>
        <w:t>Strategic Objective 1 (SO1): Build household and community resilience to address shocks and crises arising from climate change, economic volatility and to counter the effects of pandemics like the COVID-</w:t>
      </w:r>
      <w:r w:rsidR="00D25BB7">
        <w:t>19.</w:t>
      </w:r>
    </w:p>
    <w:p w14:paraId="2B7A2DC2" w14:textId="18157EC9" w:rsidR="005817C5" w:rsidRDefault="005817C5" w:rsidP="00721A8B">
      <w:pPr>
        <w:pStyle w:val="ListParagraph"/>
        <w:numPr>
          <w:ilvl w:val="0"/>
          <w:numId w:val="59"/>
        </w:numPr>
      </w:pPr>
      <w:r>
        <w:t xml:space="preserve">Strategic Objective 2 (SO2): Consolidate gains and address critical development gaps in governance and in economic and social </w:t>
      </w:r>
      <w:r w:rsidR="00D25BB7">
        <w:t>transformation.</w:t>
      </w:r>
    </w:p>
    <w:p w14:paraId="18CA6566" w14:textId="2C816059" w:rsidR="005817C5" w:rsidRDefault="005817C5" w:rsidP="00721A8B">
      <w:pPr>
        <w:pStyle w:val="ListParagraph"/>
        <w:numPr>
          <w:ilvl w:val="0"/>
          <w:numId w:val="59"/>
        </w:numPr>
      </w:pPr>
      <w:r>
        <w:t>Strategic Objective 3 (SO3): Strengthen accountability, build partnerships and set up robust and sustainable resource mobilisation strategies for effective delivery of development actions and expected outcomes.</w:t>
      </w:r>
    </w:p>
    <w:p w14:paraId="27A0ACEF" w14:textId="232D9A4D" w:rsidR="005817C5" w:rsidRDefault="005817C5" w:rsidP="005817C5">
      <w:r>
        <w:t>The Plan will be implemented through the following pillars:</w:t>
      </w:r>
    </w:p>
    <w:p w14:paraId="415EE588" w14:textId="7948768B" w:rsidR="005817C5" w:rsidRDefault="005817C5" w:rsidP="00721A8B">
      <w:pPr>
        <w:pStyle w:val="ListParagraph"/>
        <w:numPr>
          <w:ilvl w:val="0"/>
          <w:numId w:val="60"/>
        </w:numPr>
      </w:pPr>
      <w:r>
        <w:t xml:space="preserve">Pillar I: Building Community Resilience to Shocks and </w:t>
      </w:r>
      <w:r w:rsidR="00894EDB">
        <w:t>Crises.</w:t>
      </w:r>
    </w:p>
    <w:p w14:paraId="204CF7C8" w14:textId="3D40021E" w:rsidR="005817C5" w:rsidRDefault="005817C5" w:rsidP="00721A8B">
      <w:pPr>
        <w:pStyle w:val="ListParagraph"/>
        <w:numPr>
          <w:ilvl w:val="0"/>
          <w:numId w:val="60"/>
        </w:numPr>
      </w:pPr>
      <w:r>
        <w:t xml:space="preserve">Pillar II: Governance </w:t>
      </w:r>
      <w:r w:rsidR="00894EDB">
        <w:t>Reforms.</w:t>
      </w:r>
    </w:p>
    <w:p w14:paraId="46875929" w14:textId="5C529689" w:rsidR="005817C5" w:rsidRDefault="005817C5" w:rsidP="00721A8B">
      <w:pPr>
        <w:pStyle w:val="ListParagraph"/>
        <w:numPr>
          <w:ilvl w:val="0"/>
          <w:numId w:val="60"/>
        </w:numPr>
      </w:pPr>
      <w:r>
        <w:t xml:space="preserve">Pillar III: Macroeconomic Stability and </w:t>
      </w:r>
      <w:r w:rsidR="00894EDB">
        <w:t>Growth.</w:t>
      </w:r>
    </w:p>
    <w:p w14:paraId="792FC8C6" w14:textId="4B87E69A" w:rsidR="005817C5" w:rsidRDefault="005817C5" w:rsidP="00721A8B">
      <w:pPr>
        <w:pStyle w:val="ListParagraph"/>
        <w:numPr>
          <w:ilvl w:val="0"/>
          <w:numId w:val="60"/>
        </w:numPr>
      </w:pPr>
      <w:r>
        <w:t xml:space="preserve">Pillar IV: Human Capital </w:t>
      </w:r>
      <w:r w:rsidR="00894EDB">
        <w:t>Development.</w:t>
      </w:r>
    </w:p>
    <w:p w14:paraId="71CE0A8C" w14:textId="076C30C4" w:rsidR="005817C5" w:rsidRDefault="005817C5" w:rsidP="00721A8B">
      <w:pPr>
        <w:pStyle w:val="ListParagraph"/>
        <w:numPr>
          <w:ilvl w:val="0"/>
          <w:numId w:val="60"/>
        </w:numPr>
      </w:pPr>
      <w:r>
        <w:t xml:space="preserve">Pillar V: Agriculture, Environment, Natural Resources and Climate </w:t>
      </w:r>
      <w:r w:rsidR="00894EDB">
        <w:t>Change.</w:t>
      </w:r>
    </w:p>
    <w:p w14:paraId="6EAEEDB2" w14:textId="3C7453C3" w:rsidR="005817C5" w:rsidRDefault="005817C5" w:rsidP="00721A8B">
      <w:pPr>
        <w:pStyle w:val="ListParagraph"/>
        <w:numPr>
          <w:ilvl w:val="0"/>
          <w:numId w:val="60"/>
        </w:numPr>
      </w:pPr>
      <w:r>
        <w:t xml:space="preserve">Pillar VI: Empowerment, Social Inclusion and Leaving No One </w:t>
      </w:r>
      <w:r w:rsidR="00894EDB">
        <w:t>Behind.</w:t>
      </w:r>
    </w:p>
    <w:p w14:paraId="774E0FE8" w14:textId="7BD76221" w:rsidR="003A43F1" w:rsidRDefault="005817C5" w:rsidP="00721A8B">
      <w:pPr>
        <w:pStyle w:val="ListParagraph"/>
        <w:numPr>
          <w:ilvl w:val="0"/>
          <w:numId w:val="60"/>
        </w:numPr>
      </w:pPr>
      <w:r>
        <w:t>Pillar VII: Energy, Infrastructure and Information and Communication Technology (ICT)/Digital Connectivity.</w:t>
      </w:r>
    </w:p>
    <w:p w14:paraId="21BDC0A1" w14:textId="3B4F1478" w:rsidR="00EB41FB" w:rsidRDefault="00D951B9" w:rsidP="00EB41FB">
      <w:r>
        <w:t>Under Pillar 1</w:t>
      </w:r>
      <w:r w:rsidR="008C6A0E">
        <w:t xml:space="preserve"> recovery and </w:t>
      </w:r>
      <w:r w:rsidR="00B0788C">
        <w:t>resilience</w:t>
      </w:r>
      <w:r w:rsidR="008C6A0E">
        <w:t xml:space="preserve"> are important themes. Importantly</w:t>
      </w:r>
      <w:r w:rsidR="00932E92">
        <w:t>, this Pillar stipulates that a “</w:t>
      </w:r>
      <w:r w:rsidR="00932E92" w:rsidRPr="00B0788C">
        <w:rPr>
          <w:i/>
          <w:iCs/>
        </w:rPr>
        <w:t>fully integrated and effective early warning system and early response system needs to be put in place</w:t>
      </w:r>
      <w:r w:rsidR="00932E92">
        <w:t>”</w:t>
      </w:r>
      <w:r w:rsidR="00932E92">
        <w:rPr>
          <w:rStyle w:val="FootnoteReference"/>
        </w:rPr>
        <w:footnoteReference w:id="27"/>
      </w:r>
      <w:r w:rsidR="00B0788C">
        <w:t xml:space="preserve">. </w:t>
      </w:r>
      <w:r w:rsidR="00D83E3C">
        <w:t xml:space="preserve">This system is to be implemented at national and </w:t>
      </w:r>
      <w:r w:rsidR="00D81D90">
        <w:t>regional levels.</w:t>
      </w:r>
      <w:r w:rsidR="00D83E3C">
        <w:t xml:space="preserve">  </w:t>
      </w:r>
      <w:r w:rsidR="00B0788C">
        <w:t>No time frame is given for when this is to occur.</w:t>
      </w:r>
    </w:p>
    <w:p w14:paraId="78B35D92" w14:textId="10431509" w:rsidR="00B0788C" w:rsidRPr="003D60DC" w:rsidRDefault="0015218F" w:rsidP="00EB41FB">
      <w:r>
        <w:t>ICT is considered throughout the</w:t>
      </w:r>
      <w:r w:rsidR="007B12DD">
        <w:t xml:space="preserve"> Plan due to its ubiquitous use across all pillars. There appears to be no specific mention of ICT within </w:t>
      </w:r>
      <w:r w:rsidR="00AE221B">
        <w:t>Pillar 1.</w:t>
      </w:r>
    </w:p>
    <w:p w14:paraId="2BED8157" w14:textId="163F6546" w:rsidR="000D7D4D" w:rsidRDefault="008269BC" w:rsidP="008269BC">
      <w:pPr>
        <w:pStyle w:val="Heading2"/>
      </w:pPr>
      <w:bookmarkStart w:id="103" w:name="_Toc181885778"/>
      <w:r>
        <w:t>The Gambia 2050 Climate Vision</w:t>
      </w:r>
      <w:bookmarkEnd w:id="103"/>
    </w:p>
    <w:p w14:paraId="3AF28669" w14:textId="509D1E28" w:rsidR="000A71AD" w:rsidRDefault="006444C4" w:rsidP="006444C4">
      <w:r>
        <w:t>The purpose of the 2050 Climate Vision</w:t>
      </w:r>
      <w:r w:rsidR="00E12952">
        <w:rPr>
          <w:rStyle w:val="FootnoteReference"/>
        </w:rPr>
        <w:footnoteReference w:id="28"/>
      </w:r>
      <w:r>
        <w:t xml:space="preserve"> is to provide such a roadmap</w:t>
      </w:r>
      <w:r w:rsidR="006C58BD">
        <w:t xml:space="preserve"> which w</w:t>
      </w:r>
      <w:r>
        <w:t>ill assist the country in making the right</w:t>
      </w:r>
      <w:r w:rsidR="0031511C">
        <w:t xml:space="preserve"> climate related</w:t>
      </w:r>
      <w:r>
        <w:t xml:space="preserve"> investment decisions regarding where scarce resources should be deployed. By prioritising climate</w:t>
      </w:r>
      <w:r w:rsidR="0031511C">
        <w:t xml:space="preserve"> </w:t>
      </w:r>
      <w:r>
        <w:t xml:space="preserve">related development actions, the 2050 Climate Vision will also provide a framework for responding to global disruptions. </w:t>
      </w:r>
      <w:r w:rsidR="004C0958">
        <w:t>The</w:t>
      </w:r>
      <w:r>
        <w:t xml:space="preserve"> 2050 Climate Vision serves not only as a strategy for a better future but also </w:t>
      </w:r>
      <w:r w:rsidR="001132EC">
        <w:t xml:space="preserve">provides </w:t>
      </w:r>
      <w:r w:rsidR="00364D99">
        <w:t xml:space="preserve">the </w:t>
      </w:r>
      <w:r w:rsidR="001132EC">
        <w:t>fundamentals</w:t>
      </w:r>
      <w:r>
        <w:t xml:space="preserve"> for current investment.</w:t>
      </w:r>
    </w:p>
    <w:p w14:paraId="1D5AB88B" w14:textId="5E51674B" w:rsidR="00E04F3D" w:rsidRDefault="00E04F3D" w:rsidP="00E04F3D">
      <w:r>
        <w:t xml:space="preserve">To achieve </w:t>
      </w:r>
      <w:r w:rsidR="009641A8">
        <w:t>the 2050 Climate Vision</w:t>
      </w:r>
      <w:r>
        <w:t xml:space="preserve">, </w:t>
      </w:r>
      <w:r w:rsidR="009641A8">
        <w:t>The Gambia has</w:t>
      </w:r>
      <w:r>
        <w:t xml:space="preserve"> prioritised and organised policy commitments and actions in four strategic and integrated focus areas</w:t>
      </w:r>
      <w:r w:rsidR="00F32A6A">
        <w:rPr>
          <w:rStyle w:val="FootnoteReference"/>
        </w:rPr>
        <w:footnoteReference w:id="29"/>
      </w:r>
      <w:r>
        <w:t>:</w:t>
      </w:r>
    </w:p>
    <w:p w14:paraId="3DFE2AD2" w14:textId="17699C93" w:rsidR="00E04F3D" w:rsidRDefault="00E04F3D" w:rsidP="00721A8B">
      <w:pPr>
        <w:pStyle w:val="ListParagraph"/>
        <w:numPr>
          <w:ilvl w:val="0"/>
          <w:numId w:val="62"/>
        </w:numPr>
      </w:pPr>
      <w:r>
        <w:t>Climate-resilient food and landscapes: Agriculture, food security, forestry and natural resources (including water, biodiversity and wildlife)</w:t>
      </w:r>
    </w:p>
    <w:p w14:paraId="3444DA8B" w14:textId="6810C880" w:rsidR="00E04F3D" w:rsidRDefault="00E04F3D" w:rsidP="00721A8B">
      <w:pPr>
        <w:pStyle w:val="ListParagraph"/>
        <w:numPr>
          <w:ilvl w:val="0"/>
          <w:numId w:val="62"/>
        </w:numPr>
      </w:pPr>
      <w:r>
        <w:t>Low emissions and resilient economy: Energy, transport, infrastructure and the key economic sectors of tourism and financial services</w:t>
      </w:r>
    </w:p>
    <w:p w14:paraId="79482AA3" w14:textId="02159BA5" w:rsidR="00E04F3D" w:rsidRDefault="00E04F3D" w:rsidP="00721A8B">
      <w:pPr>
        <w:pStyle w:val="ListParagraph"/>
        <w:numPr>
          <w:ilvl w:val="0"/>
          <w:numId w:val="62"/>
        </w:numPr>
      </w:pPr>
      <w:r>
        <w:t>Climate-resilient people: Health, education, equitable social development and human settlements</w:t>
      </w:r>
    </w:p>
    <w:p w14:paraId="64E6A1EF" w14:textId="30A78B22" w:rsidR="001132EC" w:rsidRDefault="00E04F3D" w:rsidP="00721A8B">
      <w:pPr>
        <w:pStyle w:val="ListParagraph"/>
        <w:numPr>
          <w:ilvl w:val="0"/>
          <w:numId w:val="62"/>
        </w:numPr>
      </w:pPr>
      <w:r>
        <w:t>Managing our coasts in a changing environment: Climate-aware Integrated Coastal Zone Management.</w:t>
      </w:r>
    </w:p>
    <w:p w14:paraId="08E24644" w14:textId="2DC352E0" w:rsidR="00A4767F" w:rsidRPr="000A71AD" w:rsidRDefault="004E5033" w:rsidP="00241985">
      <w:r>
        <w:t>The 2050 Climate Vision does</w:t>
      </w:r>
      <w:r w:rsidR="002D572E">
        <w:t xml:space="preserve"> provide comment </w:t>
      </w:r>
      <w:r w:rsidR="0041277C">
        <w:t xml:space="preserve">under </w:t>
      </w:r>
      <w:r w:rsidR="0041277C" w:rsidRPr="00171D4B">
        <w:rPr>
          <w:b/>
          <w:bCs/>
        </w:rPr>
        <w:t>2.5.3 Climate</w:t>
      </w:r>
      <w:r w:rsidR="00171D4B" w:rsidRPr="00171D4B">
        <w:rPr>
          <w:b/>
          <w:bCs/>
        </w:rPr>
        <w:t>-resilient people: health, education, equitable social development and human settlements</w:t>
      </w:r>
      <w:r w:rsidR="00171D4B">
        <w:rPr>
          <w:rStyle w:val="FootnoteReference"/>
          <w:b/>
          <w:bCs/>
        </w:rPr>
        <w:footnoteReference w:id="30"/>
      </w:r>
      <w:r w:rsidR="00171D4B">
        <w:t xml:space="preserve"> </w:t>
      </w:r>
      <w:r w:rsidR="007D7744">
        <w:t>that a there</w:t>
      </w:r>
      <w:r w:rsidR="00241985">
        <w:t xml:space="preserve"> would be a </w:t>
      </w:r>
      <w:r w:rsidR="007D7744">
        <w:t xml:space="preserve">focus </w:t>
      </w:r>
      <w:r w:rsidR="008A60CA">
        <w:t>on secured</w:t>
      </w:r>
      <w:r w:rsidR="00241985">
        <w:t xml:space="preserve"> resilience of communities</w:t>
      </w:r>
      <w:r w:rsidR="008A60CA">
        <w:t>,</w:t>
      </w:r>
      <w:r w:rsidR="00241985">
        <w:t xml:space="preserve"> comprehensive disaster prevention, disaster management and risk reduction, and enhanced early warning systems implementation.</w:t>
      </w:r>
    </w:p>
    <w:p w14:paraId="14A59F40" w14:textId="0ED393AC" w:rsidR="008269BC" w:rsidRDefault="001A6704" w:rsidP="001A6704">
      <w:pPr>
        <w:pStyle w:val="Heading2"/>
      </w:pPr>
      <w:bookmarkStart w:id="104" w:name="_Toc181885779"/>
      <w:r>
        <w:t xml:space="preserve">National </w:t>
      </w:r>
      <w:r w:rsidR="007222A3">
        <w:t>B</w:t>
      </w:r>
      <w:r>
        <w:t>roadband Policy 2020-2024</w:t>
      </w:r>
      <w:bookmarkEnd w:id="104"/>
    </w:p>
    <w:p w14:paraId="71687E11" w14:textId="51479D78" w:rsidR="0065573F" w:rsidRDefault="00AC5F77" w:rsidP="0065573F">
      <w:r>
        <w:t>The Gambia’s Broadband Policy 2020 – 2024</w:t>
      </w:r>
      <w:r>
        <w:rPr>
          <w:rStyle w:val="FootnoteReference"/>
        </w:rPr>
        <w:footnoteReference w:id="31"/>
      </w:r>
      <w:r>
        <w:t xml:space="preserve"> lays down the strategic vision for a broadband that </w:t>
      </w:r>
      <w:r w:rsidR="000F2D8F">
        <w:t>can transform</w:t>
      </w:r>
      <w:r>
        <w:t xml:space="preserve"> The Gambia into knowledge-based economy and an information society. It outlines the national goals concerning broadband while elaborating specific policies to achieve those goals within the overarching context of ICT4 Development Master Plan.</w:t>
      </w:r>
      <w:r w:rsidR="0065573F" w:rsidRPr="0065573F">
        <w:t xml:space="preserve"> </w:t>
      </w:r>
    </w:p>
    <w:p w14:paraId="35AE33D0" w14:textId="77777777" w:rsidR="00ED1641" w:rsidRDefault="0065573F" w:rsidP="0065573F">
      <w:r>
        <w:t xml:space="preserve">The objective of the Policy </w:t>
      </w:r>
      <w:r w:rsidR="00E57879">
        <w:t xml:space="preserve">is to </w:t>
      </w:r>
      <w:r>
        <w:t>recogni</w:t>
      </w:r>
      <w:r w:rsidR="00E57879">
        <w:t>s</w:t>
      </w:r>
      <w:r>
        <w:t xml:space="preserve">e </w:t>
      </w:r>
      <w:r w:rsidR="00E57879">
        <w:t xml:space="preserve">Information and </w:t>
      </w:r>
      <w:r>
        <w:t>C</w:t>
      </w:r>
      <w:r w:rsidR="00E57879">
        <w:t xml:space="preserve">ommunication </w:t>
      </w:r>
      <w:r>
        <w:t>T</w:t>
      </w:r>
      <w:r w:rsidR="00E57879">
        <w:t>echnology (ICT) as</w:t>
      </w:r>
      <w:r>
        <w:t xml:space="preserve"> critical enablers for the achievement of the objectives of the N</w:t>
      </w:r>
      <w:r w:rsidR="00E57879">
        <w:t xml:space="preserve">ational </w:t>
      </w:r>
      <w:r>
        <w:t>D</w:t>
      </w:r>
      <w:r w:rsidR="00E57879">
        <w:t xml:space="preserve">evelopment </w:t>
      </w:r>
      <w:r>
        <w:t>P</w:t>
      </w:r>
      <w:r w:rsidR="00E57879">
        <w:t>lan (NDP).</w:t>
      </w:r>
      <w:r>
        <w:t xml:space="preserve"> </w:t>
      </w:r>
      <w:r w:rsidR="00E57879">
        <w:t>B</w:t>
      </w:r>
      <w:r>
        <w:t>roadband is recognized as a key facilitator for the growth and advancement of the entire ICT</w:t>
      </w:r>
      <w:r w:rsidR="00DF4268">
        <w:t xml:space="preserve"> </w:t>
      </w:r>
      <w:r>
        <w:t xml:space="preserve">sector especially in the creation of </w:t>
      </w:r>
      <w:r w:rsidR="00DF4268">
        <w:t xml:space="preserve">the </w:t>
      </w:r>
      <w:r>
        <w:t xml:space="preserve">information society. </w:t>
      </w:r>
    </w:p>
    <w:p w14:paraId="7100F112" w14:textId="72DD7A6A" w:rsidR="0065573F" w:rsidRDefault="0065573F" w:rsidP="0065573F">
      <w:r>
        <w:t>The Policy is to enhance and improve the following:</w:t>
      </w:r>
    </w:p>
    <w:p w14:paraId="4C2D2272" w14:textId="404A88CD" w:rsidR="0065573F" w:rsidRDefault="00ED1641" w:rsidP="0065573F">
      <w:pPr>
        <w:pStyle w:val="ListParagraph"/>
        <w:numPr>
          <w:ilvl w:val="0"/>
          <w:numId w:val="56"/>
        </w:numPr>
      </w:pPr>
      <w:r>
        <w:t>C</w:t>
      </w:r>
      <w:r w:rsidR="0065573F">
        <w:t>ontribution to Government revenue</w:t>
      </w:r>
      <w:r>
        <w:t>.</w:t>
      </w:r>
    </w:p>
    <w:p w14:paraId="7A8F4042" w14:textId="41DAE80C" w:rsidR="0065573F" w:rsidRDefault="00ED1641" w:rsidP="0065573F">
      <w:pPr>
        <w:pStyle w:val="ListParagraph"/>
        <w:numPr>
          <w:ilvl w:val="0"/>
          <w:numId w:val="56"/>
        </w:numPr>
      </w:pPr>
      <w:r>
        <w:t>E</w:t>
      </w:r>
      <w:r w:rsidR="0065573F">
        <w:t>mployment in the ICT sector</w:t>
      </w:r>
      <w:r>
        <w:t>.</w:t>
      </w:r>
    </w:p>
    <w:p w14:paraId="64A123CD" w14:textId="4876945C" w:rsidR="0065573F" w:rsidRDefault="00ED1641" w:rsidP="0065573F">
      <w:pPr>
        <w:pStyle w:val="ListParagraph"/>
        <w:numPr>
          <w:ilvl w:val="0"/>
          <w:numId w:val="56"/>
        </w:numPr>
      </w:pPr>
      <w:r>
        <w:t>A</w:t>
      </w:r>
      <w:r w:rsidR="0065573F">
        <w:t>ccess and usage of ICT Infrastructure</w:t>
      </w:r>
      <w:r>
        <w:t>.</w:t>
      </w:r>
    </w:p>
    <w:p w14:paraId="2E13CB9A" w14:textId="41DEC356" w:rsidR="00ED1641" w:rsidRDefault="0065573F" w:rsidP="00F05206">
      <w:pPr>
        <w:pStyle w:val="ListParagraph"/>
        <w:numPr>
          <w:ilvl w:val="0"/>
          <w:numId w:val="56"/>
        </w:numPr>
      </w:pPr>
      <w:r>
        <w:t>The Gambia’s ICT development index</w:t>
      </w:r>
      <w:r w:rsidR="00ED1641">
        <w:t>.</w:t>
      </w:r>
    </w:p>
    <w:p w14:paraId="0D079948" w14:textId="19F8816D" w:rsidR="0065573F" w:rsidRDefault="0065573F" w:rsidP="00F05206">
      <w:pPr>
        <w:pStyle w:val="ListParagraph"/>
        <w:numPr>
          <w:ilvl w:val="0"/>
          <w:numId w:val="56"/>
        </w:numPr>
      </w:pPr>
      <w:r>
        <w:t>ICT skills development</w:t>
      </w:r>
      <w:r w:rsidR="00ED1641">
        <w:t>.</w:t>
      </w:r>
    </w:p>
    <w:p w14:paraId="77902343" w14:textId="033319D4" w:rsidR="0065573F" w:rsidRDefault="008E659E" w:rsidP="0065573F">
      <w:pPr>
        <w:pStyle w:val="ListParagraph"/>
        <w:numPr>
          <w:ilvl w:val="0"/>
          <w:numId w:val="56"/>
        </w:numPr>
      </w:pPr>
      <w:r>
        <w:t>A</w:t>
      </w:r>
      <w:r w:rsidR="0065573F">
        <w:t>pplication of ICT services in business and general service delivery</w:t>
      </w:r>
      <w:r w:rsidR="00ED1641">
        <w:t>.</w:t>
      </w:r>
    </w:p>
    <w:p w14:paraId="0F357E31" w14:textId="5C9616BD" w:rsidR="00ED1641" w:rsidRDefault="008E659E" w:rsidP="00241647">
      <w:pPr>
        <w:pStyle w:val="ListParagraph"/>
        <w:numPr>
          <w:ilvl w:val="0"/>
          <w:numId w:val="56"/>
        </w:numPr>
      </w:pPr>
      <w:r>
        <w:t>J</w:t>
      </w:r>
      <w:r w:rsidR="0065573F">
        <w:t>ob creation, research and development</w:t>
      </w:r>
      <w:r w:rsidR="00ED1641">
        <w:t>.</w:t>
      </w:r>
    </w:p>
    <w:p w14:paraId="50498DF8" w14:textId="77777777" w:rsidR="00ED1641" w:rsidRDefault="0065573F" w:rsidP="004E3B9C">
      <w:pPr>
        <w:pStyle w:val="ListParagraph"/>
        <w:numPr>
          <w:ilvl w:val="0"/>
          <w:numId w:val="56"/>
        </w:numPr>
      </w:pPr>
      <w:r>
        <w:t>National ICT capacity and industry workforce</w:t>
      </w:r>
      <w:r w:rsidR="00ED1641">
        <w:t>.</w:t>
      </w:r>
    </w:p>
    <w:p w14:paraId="0A3FB5DB" w14:textId="75E808FD" w:rsidR="0065573F" w:rsidRDefault="0065573F" w:rsidP="004E3B9C">
      <w:pPr>
        <w:pStyle w:val="ListParagraph"/>
        <w:numPr>
          <w:ilvl w:val="0"/>
          <w:numId w:val="56"/>
        </w:numPr>
      </w:pPr>
      <w:r>
        <w:t>The country’s information security system</w:t>
      </w:r>
      <w:r w:rsidR="00ED1641">
        <w:t>.</w:t>
      </w:r>
    </w:p>
    <w:p w14:paraId="33A744F4" w14:textId="6DDC1706" w:rsidR="007222A3" w:rsidRPr="007222A3" w:rsidRDefault="00ED1641" w:rsidP="0065573F">
      <w:pPr>
        <w:pStyle w:val="ListParagraph"/>
        <w:numPr>
          <w:ilvl w:val="0"/>
          <w:numId w:val="56"/>
        </w:numPr>
      </w:pPr>
      <w:r>
        <w:t>L</w:t>
      </w:r>
      <w:r w:rsidR="0065573F">
        <w:t>egal and regulatory frameworks for certitude and responsiveness</w:t>
      </w:r>
      <w:r>
        <w:t>.</w:t>
      </w:r>
    </w:p>
    <w:p w14:paraId="135E18EA" w14:textId="10094D8E" w:rsidR="007F10BD" w:rsidRDefault="00573619" w:rsidP="00573619">
      <w:r>
        <w:t>I</w:t>
      </w:r>
      <w:r w:rsidR="00A57F1D">
        <w:t>mp</w:t>
      </w:r>
      <w:r>
        <w:t>lementation of this policy the country will have the ability</w:t>
      </w:r>
      <w:r w:rsidR="007F10BD">
        <w:t xml:space="preserve"> to</w:t>
      </w:r>
      <w:r>
        <w:t>:</w:t>
      </w:r>
    </w:p>
    <w:p w14:paraId="01084700" w14:textId="4EA470C1" w:rsidR="00573619" w:rsidRDefault="007F10BD" w:rsidP="007F10BD">
      <w:pPr>
        <w:pStyle w:val="ListParagraph"/>
        <w:numPr>
          <w:ilvl w:val="0"/>
          <w:numId w:val="58"/>
        </w:numPr>
      </w:pPr>
      <w:r>
        <w:t>D</w:t>
      </w:r>
      <w:r w:rsidR="00573619">
        <w:t xml:space="preserve">eliver the best possible education to future </w:t>
      </w:r>
      <w:r>
        <w:t>generations.</w:t>
      </w:r>
    </w:p>
    <w:p w14:paraId="35988E10" w14:textId="6284A204" w:rsidR="00573619" w:rsidRDefault="007F10BD" w:rsidP="007F10BD">
      <w:pPr>
        <w:pStyle w:val="ListParagraph"/>
        <w:numPr>
          <w:ilvl w:val="0"/>
          <w:numId w:val="58"/>
        </w:numPr>
      </w:pPr>
      <w:r>
        <w:t>M</w:t>
      </w:r>
      <w:r w:rsidR="00573619">
        <w:t xml:space="preserve">anage healthcare in poor, ageing or isolated </w:t>
      </w:r>
      <w:r>
        <w:t>populations.</w:t>
      </w:r>
    </w:p>
    <w:p w14:paraId="388EC518" w14:textId="170B4B65" w:rsidR="00573619" w:rsidRDefault="007F10BD" w:rsidP="007F10BD">
      <w:pPr>
        <w:pStyle w:val="ListParagraph"/>
        <w:numPr>
          <w:ilvl w:val="0"/>
          <w:numId w:val="58"/>
        </w:numPr>
      </w:pPr>
      <w:r>
        <w:t>C</w:t>
      </w:r>
      <w:r w:rsidR="00573619">
        <w:t xml:space="preserve">ontrol and use energy more </w:t>
      </w:r>
      <w:r>
        <w:t>efficiently.</w:t>
      </w:r>
    </w:p>
    <w:p w14:paraId="582C0162" w14:textId="7D4CF4F5" w:rsidR="00573619" w:rsidRDefault="007F10BD" w:rsidP="007F10BD">
      <w:pPr>
        <w:pStyle w:val="ListParagraph"/>
        <w:numPr>
          <w:ilvl w:val="0"/>
          <w:numId w:val="58"/>
        </w:numPr>
      </w:pPr>
      <w:r>
        <w:t>T</w:t>
      </w:r>
      <w:r w:rsidR="00573619">
        <w:t xml:space="preserve">ake better care of the </w:t>
      </w:r>
      <w:r>
        <w:t>environment.</w:t>
      </w:r>
    </w:p>
    <w:p w14:paraId="2B3DFA60" w14:textId="6228E7C4" w:rsidR="00573619" w:rsidRDefault="007F10BD" w:rsidP="007F10BD">
      <w:pPr>
        <w:pStyle w:val="ListParagraph"/>
        <w:numPr>
          <w:ilvl w:val="0"/>
          <w:numId w:val="58"/>
        </w:numPr>
      </w:pPr>
      <w:r>
        <w:t>S</w:t>
      </w:r>
      <w:r w:rsidR="00573619">
        <w:t>treamline transport networks; and</w:t>
      </w:r>
    </w:p>
    <w:p w14:paraId="0B6DD504" w14:textId="18FAE7BB" w:rsidR="001A6704" w:rsidRPr="001A6704" w:rsidRDefault="007F10BD" w:rsidP="007F10BD">
      <w:pPr>
        <w:pStyle w:val="ListParagraph"/>
        <w:numPr>
          <w:ilvl w:val="0"/>
          <w:numId w:val="58"/>
        </w:numPr>
      </w:pPr>
      <w:r>
        <w:t>A</w:t>
      </w:r>
      <w:r w:rsidR="00573619">
        <w:t xml:space="preserve">ccelerate progress towards the </w:t>
      </w:r>
      <w:r>
        <w:t>SDGs.</w:t>
      </w:r>
    </w:p>
    <w:p w14:paraId="65EBDB9A" w14:textId="22A48C0D" w:rsidR="00222B1B" w:rsidRPr="00DE1BD4" w:rsidRDefault="00704228" w:rsidP="00DC5A29">
      <w:pPr>
        <w:rPr>
          <w:rFonts w:asciiTheme="minorHAnsi" w:hAnsiTheme="minorHAnsi" w:cstheme="minorHAnsi"/>
          <w:b/>
          <w:bCs/>
          <w:i/>
          <w:iCs/>
        </w:rPr>
      </w:pPr>
      <w:bookmarkStart w:id="105" w:name="_Toc36194988"/>
      <w:bookmarkStart w:id="106" w:name="_Ref45270667"/>
      <w:bookmarkStart w:id="107" w:name="_Ref45270685"/>
      <w:bookmarkStart w:id="108" w:name="_Ref45270815"/>
      <w:bookmarkEnd w:id="100"/>
      <w:bookmarkEnd w:id="101"/>
      <w:r w:rsidRPr="00DE1BD4">
        <w:rPr>
          <w:rFonts w:asciiTheme="minorHAnsi" w:hAnsiTheme="minorHAnsi" w:cstheme="minorHAnsi"/>
          <w:b/>
          <w:bCs/>
          <w:i/>
          <w:iCs/>
        </w:rPr>
        <w:t xml:space="preserve">Implementation </w:t>
      </w:r>
      <w:r w:rsidR="007B3261" w:rsidRPr="00DE1BD4">
        <w:rPr>
          <w:rFonts w:asciiTheme="minorHAnsi" w:hAnsiTheme="minorHAnsi" w:cstheme="minorHAnsi"/>
          <w:b/>
          <w:bCs/>
          <w:i/>
          <w:iCs/>
        </w:rPr>
        <w:t>Task</w:t>
      </w:r>
      <w:r w:rsidRPr="00DE1BD4">
        <w:rPr>
          <w:rFonts w:asciiTheme="minorHAnsi" w:hAnsiTheme="minorHAnsi" w:cstheme="minorHAnsi"/>
          <w:b/>
          <w:bCs/>
          <w:i/>
          <w:iCs/>
        </w:rPr>
        <w:t xml:space="preserve"> </w:t>
      </w:r>
      <w:r w:rsidR="006D3995" w:rsidRPr="00DE1BD4">
        <w:rPr>
          <w:rFonts w:asciiTheme="minorHAnsi" w:hAnsiTheme="minorHAnsi" w:cstheme="minorHAnsi"/>
          <w:b/>
          <w:bCs/>
          <w:i/>
          <w:iCs/>
        </w:rPr>
        <w:t>2</w:t>
      </w:r>
    </w:p>
    <w:p w14:paraId="02CAE2CD" w14:textId="0850E089" w:rsidR="0026021A" w:rsidRDefault="00841A30" w:rsidP="00853A1F">
      <w:pPr>
        <w:rPr>
          <w:rFonts w:asciiTheme="minorHAnsi" w:hAnsiTheme="minorHAnsi" w:cstheme="minorHAnsi"/>
          <w:i/>
          <w:iCs/>
        </w:rPr>
      </w:pPr>
      <w:r w:rsidRPr="00841A30">
        <w:rPr>
          <w:rFonts w:asciiTheme="minorHAnsi" w:hAnsiTheme="minorHAnsi" w:cstheme="minorHAnsi"/>
          <w:i/>
          <w:iCs/>
        </w:rPr>
        <w:t>The key implementation task from this section is the development and completion of the Namibian NETP. However, there are several other plans that are now seen as out of date and should be reviewed and brought into a best practice position</w:t>
      </w:r>
      <w:r w:rsidR="00853A1F" w:rsidRPr="00DE1BD4">
        <w:rPr>
          <w:rFonts w:asciiTheme="minorHAnsi" w:hAnsiTheme="minorHAnsi" w:cstheme="minorHAnsi"/>
          <w:i/>
          <w:iCs/>
        </w:rPr>
        <w:t>.</w:t>
      </w:r>
    </w:p>
    <w:p w14:paraId="215FBBA7" w14:textId="44216129" w:rsidR="003C3460" w:rsidRDefault="003C3460">
      <w:pPr>
        <w:jc w:val="left"/>
        <w:rPr>
          <w:rFonts w:asciiTheme="minorHAnsi" w:hAnsiTheme="minorHAnsi" w:cstheme="minorHAnsi"/>
        </w:rPr>
      </w:pPr>
      <w:r>
        <w:rPr>
          <w:rFonts w:asciiTheme="minorHAnsi" w:hAnsiTheme="minorHAnsi" w:cstheme="minorHAnsi"/>
        </w:rPr>
        <w:br w:type="page"/>
      </w:r>
    </w:p>
    <w:p w14:paraId="194EEF97" w14:textId="7F187405" w:rsidR="00B22BD5" w:rsidRPr="00DE1BD4" w:rsidRDefault="00B01C1E" w:rsidP="000670A5">
      <w:pPr>
        <w:pStyle w:val="Heading1"/>
      </w:pPr>
      <w:bookmarkStart w:id="109" w:name="_Toc90825806"/>
      <w:bookmarkStart w:id="110" w:name="_Toc90825957"/>
      <w:bookmarkStart w:id="111" w:name="_Toc91172607"/>
      <w:bookmarkStart w:id="112" w:name="_Toc91185494"/>
      <w:bookmarkStart w:id="113" w:name="_Toc181885780"/>
      <w:bookmarkStart w:id="114" w:name="_Hlk168423576"/>
      <w:r>
        <w:t xml:space="preserve">Agencies Involved </w:t>
      </w:r>
      <w:r w:rsidR="0015200A">
        <w:t>in</w:t>
      </w:r>
      <w:r>
        <w:t xml:space="preserve"> Disaster Risk Management</w:t>
      </w:r>
      <w:bookmarkEnd w:id="105"/>
      <w:bookmarkEnd w:id="106"/>
      <w:bookmarkEnd w:id="107"/>
      <w:bookmarkEnd w:id="108"/>
      <w:bookmarkEnd w:id="109"/>
      <w:bookmarkEnd w:id="110"/>
      <w:bookmarkEnd w:id="111"/>
      <w:bookmarkEnd w:id="112"/>
      <w:bookmarkEnd w:id="113"/>
    </w:p>
    <w:bookmarkEnd w:id="114"/>
    <w:p w14:paraId="41C12380" w14:textId="4A351847" w:rsidR="003622A9" w:rsidRPr="00F7645A" w:rsidRDefault="003622A9" w:rsidP="00F7645A">
      <w:pPr>
        <w:spacing w:after="0" w:line="240" w:lineRule="auto"/>
        <w:rPr>
          <w:i/>
          <w:iCs/>
        </w:rPr>
      </w:pPr>
      <w:r w:rsidRPr="00DE1BD4">
        <w:rPr>
          <w:i/>
          <w:iCs/>
        </w:rPr>
        <w:t>Based on the general national DRM laws and regulations, the Government should define the clear responsibilities and activities for the Ministry responsible for telecom/ICT and the Telecoms NRA in each Member State.</w:t>
      </w:r>
    </w:p>
    <w:p w14:paraId="12FBFB88" w14:textId="77777777" w:rsidR="00BA23D9" w:rsidRPr="00DE1BD4" w:rsidRDefault="00BA23D9" w:rsidP="00BA23D9">
      <w:pPr>
        <w:autoSpaceDE w:val="0"/>
        <w:autoSpaceDN w:val="0"/>
        <w:adjustRightInd w:val="0"/>
        <w:spacing w:after="0" w:line="240" w:lineRule="auto"/>
        <w:jc w:val="left"/>
      </w:pPr>
      <w:bookmarkStart w:id="115" w:name="_Ref90498652"/>
      <w:bookmarkStart w:id="116" w:name="_Ref90498681"/>
      <w:bookmarkStart w:id="117" w:name="_Toc90825867"/>
      <w:bookmarkStart w:id="118" w:name="_Toc90826011"/>
      <w:bookmarkStart w:id="119" w:name="_Toc91172666"/>
      <w:bookmarkStart w:id="120" w:name="_Toc91185553"/>
    </w:p>
    <w:p w14:paraId="00A5AF55" w14:textId="77777777" w:rsidR="00FC6EA9" w:rsidRPr="002160E7" w:rsidRDefault="00FC6EA9" w:rsidP="00FC6EA9">
      <w:pPr>
        <w:jc w:val="center"/>
        <w:rPr>
          <w:b/>
          <w:bCs/>
        </w:rPr>
      </w:pPr>
      <w:r w:rsidRPr="002160E7">
        <w:rPr>
          <w:b/>
          <w:bCs/>
          <w:highlight w:val="yellow"/>
        </w:rPr>
        <w:t>To be updated following stakeholder consultation</w:t>
      </w:r>
    </w:p>
    <w:p w14:paraId="06259205" w14:textId="2B54B444" w:rsidR="00046490" w:rsidRPr="00DE1BD4" w:rsidRDefault="00046490" w:rsidP="005D47A0">
      <w:r w:rsidRPr="00DE1BD4">
        <w:t xml:space="preserve">This section provides an overview of the major disaster management and humanitarian agencies currently operating in </w:t>
      </w:r>
      <w:r w:rsidR="000F3166">
        <w:t>T</w:t>
      </w:r>
      <w:r w:rsidR="00905FBA">
        <w:t>he Gambia</w:t>
      </w:r>
      <w:r w:rsidRPr="00DE1BD4">
        <w:t xml:space="preserve">. </w:t>
      </w:r>
    </w:p>
    <w:p w14:paraId="4E4823CB" w14:textId="3950D55E" w:rsidR="00373C83" w:rsidRDefault="00373C83" w:rsidP="00046490">
      <w:pPr>
        <w:pStyle w:val="Heading2"/>
      </w:pPr>
      <w:bookmarkStart w:id="121" w:name="_Toc181885781"/>
      <w:r>
        <w:t>National Disaster Management Council</w:t>
      </w:r>
      <w:bookmarkEnd w:id="121"/>
    </w:p>
    <w:p w14:paraId="0AC1380B" w14:textId="1172406A" w:rsidR="00210081" w:rsidRDefault="00373C83" w:rsidP="00210081">
      <w:r>
        <w:t xml:space="preserve">The </w:t>
      </w:r>
      <w:r w:rsidR="00210081">
        <w:t>This Council is the Governing Body of the National Disaster Management Agency</w:t>
      </w:r>
      <w:r w:rsidR="009901DB">
        <w:rPr>
          <w:rStyle w:val="FootnoteReference"/>
        </w:rPr>
        <w:footnoteReference w:id="32"/>
      </w:r>
      <w:r w:rsidR="00210081">
        <w:t xml:space="preserve">. The President of the Republic of The Gambia chairs the NDMC which includes various line ministries and is the highest </w:t>
      </w:r>
      <w:r w:rsidR="008616E2">
        <w:t>decision-making</w:t>
      </w:r>
      <w:r w:rsidR="00210081">
        <w:t xml:space="preserve"> body on all matters of disaster management in the country. The composition and functions of the Council as stipulated in the NDMA Act 2008</w:t>
      </w:r>
      <w:r w:rsidR="003D7F1F">
        <w:rPr>
          <w:rStyle w:val="FootnoteReference"/>
        </w:rPr>
        <w:footnoteReference w:id="33"/>
      </w:r>
      <w:r w:rsidR="00210081">
        <w:t xml:space="preserve"> are as follows:</w:t>
      </w:r>
    </w:p>
    <w:p w14:paraId="738C3E9D" w14:textId="0E1C11B6" w:rsidR="00210081" w:rsidRDefault="00210081" w:rsidP="00721A8B">
      <w:pPr>
        <w:pStyle w:val="ListParagraph"/>
        <w:numPr>
          <w:ilvl w:val="0"/>
          <w:numId w:val="63"/>
        </w:numPr>
      </w:pPr>
      <w:r>
        <w:t>The President of the Republic of The Gambia as Chair</w:t>
      </w:r>
    </w:p>
    <w:p w14:paraId="66C3A04A" w14:textId="651698E4" w:rsidR="00210081" w:rsidRDefault="00210081" w:rsidP="00721A8B">
      <w:pPr>
        <w:pStyle w:val="ListParagraph"/>
        <w:numPr>
          <w:ilvl w:val="0"/>
          <w:numId w:val="63"/>
        </w:numPr>
      </w:pPr>
      <w:r>
        <w:t>Minister of Environment, Water Resources, Climate Change and Parks and</w:t>
      </w:r>
      <w:r w:rsidR="006A22D7">
        <w:t xml:space="preserve"> Wildlife</w:t>
      </w:r>
    </w:p>
    <w:p w14:paraId="1F711386" w14:textId="213E1025" w:rsidR="00210081" w:rsidRDefault="00210081" w:rsidP="00721A8B">
      <w:pPr>
        <w:pStyle w:val="ListParagraph"/>
        <w:numPr>
          <w:ilvl w:val="0"/>
          <w:numId w:val="63"/>
        </w:numPr>
      </w:pPr>
      <w:r>
        <w:t>Minister of Health and Social Welfare</w:t>
      </w:r>
    </w:p>
    <w:p w14:paraId="5006B8D2" w14:textId="12F28439" w:rsidR="00210081" w:rsidRDefault="00210081" w:rsidP="00721A8B">
      <w:pPr>
        <w:pStyle w:val="ListParagraph"/>
        <w:numPr>
          <w:ilvl w:val="0"/>
          <w:numId w:val="63"/>
        </w:numPr>
      </w:pPr>
      <w:r>
        <w:t>Minister of Agriculture</w:t>
      </w:r>
    </w:p>
    <w:p w14:paraId="2CED3286" w14:textId="0957040D" w:rsidR="00210081" w:rsidRDefault="00210081" w:rsidP="00721A8B">
      <w:pPr>
        <w:pStyle w:val="ListParagraph"/>
        <w:numPr>
          <w:ilvl w:val="0"/>
          <w:numId w:val="63"/>
        </w:numPr>
      </w:pPr>
      <w:r>
        <w:t>Minister of Lands and Regional Administration</w:t>
      </w:r>
    </w:p>
    <w:p w14:paraId="22B7F72E" w14:textId="3A819C0A" w:rsidR="00210081" w:rsidRDefault="00210081" w:rsidP="00721A8B">
      <w:pPr>
        <w:pStyle w:val="ListParagraph"/>
        <w:numPr>
          <w:ilvl w:val="0"/>
          <w:numId w:val="63"/>
        </w:numPr>
      </w:pPr>
      <w:r>
        <w:t>Minister of Fisheries</w:t>
      </w:r>
    </w:p>
    <w:p w14:paraId="0692518B" w14:textId="70040775" w:rsidR="00210081" w:rsidRDefault="00210081" w:rsidP="00721A8B">
      <w:pPr>
        <w:pStyle w:val="ListParagraph"/>
        <w:numPr>
          <w:ilvl w:val="0"/>
          <w:numId w:val="63"/>
        </w:numPr>
      </w:pPr>
      <w:r>
        <w:t>Attorney General and Minister of Justice</w:t>
      </w:r>
    </w:p>
    <w:p w14:paraId="364EECF5" w14:textId="54C4E1B1" w:rsidR="00210081" w:rsidRDefault="00210081" w:rsidP="00721A8B">
      <w:pPr>
        <w:pStyle w:val="ListParagraph"/>
        <w:numPr>
          <w:ilvl w:val="0"/>
          <w:numId w:val="63"/>
        </w:numPr>
      </w:pPr>
      <w:r>
        <w:t>Minister of Finance and Economic Affairs</w:t>
      </w:r>
    </w:p>
    <w:p w14:paraId="0CE533F8" w14:textId="641B4352" w:rsidR="00210081" w:rsidRDefault="00210081" w:rsidP="00721A8B">
      <w:pPr>
        <w:pStyle w:val="ListParagraph"/>
        <w:numPr>
          <w:ilvl w:val="0"/>
          <w:numId w:val="63"/>
        </w:numPr>
      </w:pPr>
      <w:r>
        <w:t>Minister of the Interior</w:t>
      </w:r>
    </w:p>
    <w:p w14:paraId="1D4D3340" w14:textId="77777777" w:rsidR="006A22D7" w:rsidRDefault="00210081" w:rsidP="00721A8B">
      <w:pPr>
        <w:pStyle w:val="ListParagraph"/>
        <w:numPr>
          <w:ilvl w:val="0"/>
          <w:numId w:val="63"/>
        </w:numPr>
      </w:pPr>
      <w:r>
        <w:t>Minister of Defence</w:t>
      </w:r>
    </w:p>
    <w:p w14:paraId="4B76F26F" w14:textId="77777777" w:rsidR="006A22D7" w:rsidRDefault="00210081" w:rsidP="00721A8B">
      <w:pPr>
        <w:pStyle w:val="ListParagraph"/>
        <w:numPr>
          <w:ilvl w:val="0"/>
          <w:numId w:val="63"/>
        </w:numPr>
      </w:pPr>
      <w:r>
        <w:t xml:space="preserve"> Association of Non-Governmental Organisations (TANGO) representing non</w:t>
      </w:r>
      <w:r w:rsidR="006A22D7">
        <w:t xml:space="preserve"> </w:t>
      </w:r>
      <w:r>
        <w:t>state actors</w:t>
      </w:r>
    </w:p>
    <w:p w14:paraId="493B14D6" w14:textId="7C623F68" w:rsidR="006A22D7" w:rsidRDefault="00210081" w:rsidP="00721A8B">
      <w:pPr>
        <w:pStyle w:val="ListParagraph"/>
        <w:numPr>
          <w:ilvl w:val="0"/>
          <w:numId w:val="63"/>
        </w:numPr>
      </w:pPr>
      <w:r>
        <w:t xml:space="preserve">Gambia </w:t>
      </w:r>
      <w:r w:rsidR="008616E2">
        <w:t>Chamber</w:t>
      </w:r>
      <w:r>
        <w:t xml:space="preserve"> of Commerce and </w:t>
      </w:r>
      <w:r w:rsidR="008616E2">
        <w:t>Industry</w:t>
      </w:r>
      <w:r>
        <w:t xml:space="preserve"> (GCCI) representing the privates</w:t>
      </w:r>
      <w:r w:rsidR="008616E2">
        <w:t xml:space="preserve"> </w:t>
      </w:r>
      <w:proofErr w:type="spellStart"/>
      <w:r>
        <w:t>ector</w:t>
      </w:r>
      <w:proofErr w:type="spellEnd"/>
    </w:p>
    <w:p w14:paraId="5CC8318F" w14:textId="5D6CD454" w:rsidR="006A22D7" w:rsidRDefault="00210081" w:rsidP="00721A8B">
      <w:pPr>
        <w:pStyle w:val="ListParagraph"/>
        <w:numPr>
          <w:ilvl w:val="0"/>
          <w:numId w:val="63"/>
        </w:numPr>
      </w:pPr>
      <w:r>
        <w:t xml:space="preserve">National Search and Rescue </w:t>
      </w:r>
      <w:r w:rsidR="006A22D7">
        <w:t>commission</w:t>
      </w:r>
    </w:p>
    <w:p w14:paraId="5721E0A7" w14:textId="199E4F17" w:rsidR="00210081" w:rsidRDefault="00210081" w:rsidP="00721A8B">
      <w:pPr>
        <w:pStyle w:val="ListParagraph"/>
        <w:numPr>
          <w:ilvl w:val="0"/>
          <w:numId w:val="63"/>
        </w:numPr>
      </w:pPr>
      <w:r>
        <w:t>Executive Director of the NDMA as secretary to Council</w:t>
      </w:r>
    </w:p>
    <w:p w14:paraId="18F60309" w14:textId="3DD28E20" w:rsidR="00210081" w:rsidRDefault="00210081" w:rsidP="00323CD3">
      <w:r>
        <w:t>The</w:t>
      </w:r>
      <w:r w:rsidR="00C96705">
        <w:t xml:space="preserve"> importance of ICT and its associated ministry </w:t>
      </w:r>
      <w:r w:rsidR="002A34E3">
        <w:t>is not apparent in the NDMA Act 2008</w:t>
      </w:r>
      <w:r>
        <w:t xml:space="preserve"> </w:t>
      </w:r>
      <w:r w:rsidR="00B72591">
        <w:t>an</w:t>
      </w:r>
      <w:r w:rsidR="004D2E39">
        <w:t>d</w:t>
      </w:r>
      <w:r w:rsidR="00B72591">
        <w:t xml:space="preserve"> any review of this Act should include this ministry</w:t>
      </w:r>
      <w:r w:rsidR="00323CD3">
        <w:t xml:space="preserve"> particularly as the </w:t>
      </w:r>
      <w:r w:rsidR="004D2E39">
        <w:t>criticality of the role o</w:t>
      </w:r>
      <w:r w:rsidR="00323CD3">
        <w:t xml:space="preserve">f ICT </w:t>
      </w:r>
      <w:r w:rsidR="004D2E39">
        <w:t xml:space="preserve">in the </w:t>
      </w:r>
      <w:r w:rsidR="00323CD3">
        <w:t xml:space="preserve">DRM </w:t>
      </w:r>
      <w:r w:rsidR="00B032A0">
        <w:t>ecosystem continues to grow.</w:t>
      </w:r>
    </w:p>
    <w:p w14:paraId="5CC101FE" w14:textId="780D26D4" w:rsidR="00046490" w:rsidRPr="00DE1BD4" w:rsidRDefault="00905FBA" w:rsidP="00046490">
      <w:pPr>
        <w:pStyle w:val="Heading2"/>
      </w:pPr>
      <w:bookmarkStart w:id="122" w:name="_Toc181885782"/>
      <w:r>
        <w:t>National Disaster Management Agency</w:t>
      </w:r>
      <w:bookmarkEnd w:id="122"/>
    </w:p>
    <w:p w14:paraId="6AFEE85C" w14:textId="14F55F9D" w:rsidR="00D46220" w:rsidRDefault="00046490" w:rsidP="000E7745">
      <w:pPr>
        <w:rPr>
          <w:shd w:val="clear" w:color="auto" w:fill="FAFAFA"/>
        </w:rPr>
      </w:pPr>
      <w:r w:rsidRPr="00DE1BD4">
        <w:rPr>
          <w:shd w:val="clear" w:color="auto" w:fill="FAFAFA"/>
        </w:rPr>
        <w:t>Under the Office of the Pr</w:t>
      </w:r>
      <w:r w:rsidR="005D47A0">
        <w:rPr>
          <w:shd w:val="clear" w:color="auto" w:fill="FAFAFA"/>
        </w:rPr>
        <w:t>esident</w:t>
      </w:r>
      <w:r w:rsidRPr="00DE1BD4">
        <w:rPr>
          <w:shd w:val="clear" w:color="auto" w:fill="FAFAFA"/>
        </w:rPr>
        <w:t xml:space="preserve"> (OPM), sits the </w:t>
      </w:r>
      <w:r w:rsidR="005D47A0">
        <w:rPr>
          <w:shd w:val="clear" w:color="auto" w:fill="FAFAFA"/>
        </w:rPr>
        <w:t xml:space="preserve">National </w:t>
      </w:r>
      <w:r w:rsidRPr="00DE1BD4">
        <w:rPr>
          <w:shd w:val="clear" w:color="auto" w:fill="FAFAFA"/>
        </w:rPr>
        <w:t>Disaster Management</w:t>
      </w:r>
      <w:r w:rsidR="002F2954">
        <w:rPr>
          <w:shd w:val="clear" w:color="auto" w:fill="FAFAFA"/>
        </w:rPr>
        <w:t xml:space="preserve"> </w:t>
      </w:r>
      <w:r w:rsidR="00F323E7">
        <w:rPr>
          <w:shd w:val="clear" w:color="auto" w:fill="FAFAFA"/>
        </w:rPr>
        <w:t>Agency</w:t>
      </w:r>
      <w:r w:rsidRPr="00DE1BD4">
        <w:rPr>
          <w:shd w:val="clear" w:color="auto" w:fill="FAFAFA"/>
        </w:rPr>
        <w:t xml:space="preserve"> (</w:t>
      </w:r>
      <w:r w:rsidR="00F323E7">
        <w:rPr>
          <w:shd w:val="clear" w:color="auto" w:fill="FAFAFA"/>
        </w:rPr>
        <w:t>NDMA</w:t>
      </w:r>
      <w:r w:rsidRPr="00DE1BD4">
        <w:rPr>
          <w:shd w:val="clear" w:color="auto" w:fill="FAFAFA"/>
        </w:rPr>
        <w:t xml:space="preserve">). The </w:t>
      </w:r>
      <w:r w:rsidR="000B3706">
        <w:rPr>
          <w:shd w:val="clear" w:color="auto" w:fill="FAFAFA"/>
        </w:rPr>
        <w:t>objective</w:t>
      </w:r>
      <w:r w:rsidRPr="00DE1BD4">
        <w:rPr>
          <w:shd w:val="clear" w:color="auto" w:fill="FAFAFA"/>
        </w:rPr>
        <w:t xml:space="preserve"> of the </w:t>
      </w:r>
      <w:r w:rsidR="00F323E7">
        <w:rPr>
          <w:shd w:val="clear" w:color="auto" w:fill="FAFAFA"/>
        </w:rPr>
        <w:t>NDMA</w:t>
      </w:r>
      <w:r w:rsidRPr="00DE1BD4">
        <w:rPr>
          <w:shd w:val="clear" w:color="auto" w:fill="FAFAFA"/>
        </w:rPr>
        <w:t xml:space="preserve"> is to</w:t>
      </w:r>
      <w:r w:rsidR="00715157">
        <w:rPr>
          <w:shd w:val="clear" w:color="auto" w:fill="FAFAFA"/>
        </w:rPr>
        <w:t xml:space="preserve"> be</w:t>
      </w:r>
      <w:r w:rsidR="00DF0020">
        <w:rPr>
          <w:shd w:val="clear" w:color="auto" w:fill="FAFAFA"/>
        </w:rPr>
        <w:t xml:space="preserve"> the coordinating </w:t>
      </w:r>
      <w:r w:rsidR="00715157">
        <w:rPr>
          <w:shd w:val="clear" w:color="auto" w:fill="FAFAFA"/>
        </w:rPr>
        <w:t xml:space="preserve">body for all disaster and </w:t>
      </w:r>
      <w:r w:rsidR="00DC2387">
        <w:rPr>
          <w:shd w:val="clear" w:color="auto" w:fill="FAFAFA"/>
        </w:rPr>
        <w:t>management and risk reduction activities</w:t>
      </w:r>
      <w:r w:rsidR="000767FA">
        <w:rPr>
          <w:rStyle w:val="FootnoteReference"/>
          <w:shd w:val="clear" w:color="auto" w:fill="FAFAFA"/>
        </w:rPr>
        <w:footnoteReference w:id="34"/>
      </w:r>
      <w:r w:rsidR="00DC2387">
        <w:rPr>
          <w:shd w:val="clear" w:color="auto" w:fill="FAFAFA"/>
        </w:rPr>
        <w:t>.</w:t>
      </w:r>
      <w:r w:rsidR="000D0A31">
        <w:rPr>
          <w:shd w:val="clear" w:color="auto" w:fill="FAFAFA"/>
        </w:rPr>
        <w:t xml:space="preserve"> Apart from </w:t>
      </w:r>
      <w:r w:rsidR="002932D3">
        <w:rPr>
          <w:shd w:val="clear" w:color="auto" w:fill="FAFAFA"/>
        </w:rPr>
        <w:t xml:space="preserve">the </w:t>
      </w:r>
      <w:r w:rsidR="000D0A31">
        <w:rPr>
          <w:shd w:val="clear" w:color="auto" w:fill="FAFAFA"/>
        </w:rPr>
        <w:t xml:space="preserve">responsibilities identified earlier (see </w:t>
      </w:r>
      <w:r w:rsidR="002932D3">
        <w:rPr>
          <w:shd w:val="clear" w:color="auto" w:fill="FAFAFA"/>
        </w:rPr>
        <w:fldChar w:fldCharType="begin"/>
      </w:r>
      <w:r w:rsidR="002932D3">
        <w:rPr>
          <w:shd w:val="clear" w:color="auto" w:fill="FAFAFA"/>
        </w:rPr>
        <w:instrText xml:space="preserve"> REF _Ref180749160 \r \h </w:instrText>
      </w:r>
      <w:r w:rsidR="002932D3">
        <w:rPr>
          <w:shd w:val="clear" w:color="auto" w:fill="FAFAFA"/>
        </w:rPr>
      </w:r>
      <w:r w:rsidR="002932D3">
        <w:rPr>
          <w:shd w:val="clear" w:color="auto" w:fill="FAFAFA"/>
        </w:rPr>
        <w:fldChar w:fldCharType="separate"/>
      </w:r>
      <w:r w:rsidR="002E4081">
        <w:rPr>
          <w:shd w:val="clear" w:color="auto" w:fill="FAFAFA"/>
        </w:rPr>
        <w:t>3.2</w:t>
      </w:r>
      <w:r w:rsidR="002932D3">
        <w:rPr>
          <w:shd w:val="clear" w:color="auto" w:fill="FAFAFA"/>
        </w:rPr>
        <w:fldChar w:fldCharType="end"/>
      </w:r>
      <w:r w:rsidR="00866522">
        <w:rPr>
          <w:shd w:val="clear" w:color="auto" w:fill="FAFAFA"/>
        </w:rPr>
        <w:t>)</w:t>
      </w:r>
      <w:r w:rsidR="00966D6E">
        <w:rPr>
          <w:shd w:val="clear" w:color="auto" w:fill="FAFAFA"/>
        </w:rPr>
        <w:t xml:space="preserve">. Furthermore, </w:t>
      </w:r>
      <w:r w:rsidR="000E7745" w:rsidRPr="000E7745">
        <w:rPr>
          <w:shd w:val="clear" w:color="auto" w:fill="FAFAFA"/>
        </w:rPr>
        <w:t>as the central planning, coordinating and monitoring institution</w:t>
      </w:r>
      <w:r w:rsidR="000E7745">
        <w:rPr>
          <w:shd w:val="clear" w:color="auto" w:fill="FAFAFA"/>
        </w:rPr>
        <w:t xml:space="preserve"> </w:t>
      </w:r>
      <w:r w:rsidR="000E7745" w:rsidRPr="000E7745">
        <w:rPr>
          <w:shd w:val="clear" w:color="auto" w:fill="FAFAFA"/>
        </w:rPr>
        <w:t>for disaster management</w:t>
      </w:r>
      <w:r w:rsidR="00966D6E">
        <w:rPr>
          <w:shd w:val="clear" w:color="auto" w:fill="FAFAFA"/>
        </w:rPr>
        <w:t xml:space="preserve"> </w:t>
      </w:r>
      <w:r w:rsidR="000E7745" w:rsidRPr="000E7745">
        <w:rPr>
          <w:shd w:val="clear" w:color="auto" w:fill="FAFAFA"/>
        </w:rPr>
        <w:t>and post-disaster recovery reconstruction in The Gambia</w:t>
      </w:r>
      <w:r w:rsidR="00966D6E">
        <w:rPr>
          <w:shd w:val="clear" w:color="auto" w:fill="FAFAFA"/>
        </w:rPr>
        <w:t>,</w:t>
      </w:r>
      <w:r w:rsidR="000E7745">
        <w:rPr>
          <w:shd w:val="clear" w:color="auto" w:fill="FAFAFA"/>
        </w:rPr>
        <w:t xml:space="preserve"> </w:t>
      </w:r>
      <w:r w:rsidR="00966D6E">
        <w:rPr>
          <w:shd w:val="clear" w:color="auto" w:fill="FAFAFA"/>
        </w:rPr>
        <w:t>the NDMA is empowered to undertake the following actions</w:t>
      </w:r>
      <w:r w:rsidR="007C4033">
        <w:rPr>
          <w:rStyle w:val="FootnoteReference"/>
          <w:shd w:val="clear" w:color="auto" w:fill="FAFAFA"/>
        </w:rPr>
        <w:footnoteReference w:id="35"/>
      </w:r>
    </w:p>
    <w:p w14:paraId="4909C77E" w14:textId="793FC698" w:rsidR="00577376" w:rsidRPr="00394A3E" w:rsidRDefault="00577376" w:rsidP="00721A8B">
      <w:pPr>
        <w:pStyle w:val="ListParagraph"/>
        <w:numPr>
          <w:ilvl w:val="0"/>
          <w:numId w:val="65"/>
        </w:numPr>
        <w:rPr>
          <w:shd w:val="clear" w:color="auto" w:fill="FAFAFA"/>
        </w:rPr>
      </w:pPr>
      <w:r w:rsidRPr="00394A3E">
        <w:rPr>
          <w:shd w:val="clear" w:color="auto" w:fill="FAFAFA"/>
        </w:rPr>
        <w:t xml:space="preserve">Coordinate the actions of Ministries, Government Agencies, Regional, </w:t>
      </w:r>
      <w:r w:rsidR="00394A3E" w:rsidRPr="00394A3E">
        <w:rPr>
          <w:shd w:val="clear" w:color="auto" w:fill="FAFAFA"/>
        </w:rPr>
        <w:t>District and</w:t>
      </w:r>
      <w:r w:rsidRPr="00394A3E">
        <w:rPr>
          <w:shd w:val="clear" w:color="auto" w:fill="FAFAFA"/>
        </w:rPr>
        <w:t xml:space="preserve"> Village Disaster Committees, Local Authorities and Non-</w:t>
      </w:r>
      <w:r w:rsidR="00394A3E" w:rsidRPr="00394A3E">
        <w:rPr>
          <w:shd w:val="clear" w:color="auto" w:fill="FAFAFA"/>
        </w:rPr>
        <w:t>Government Agencies</w:t>
      </w:r>
      <w:r w:rsidR="00394A3E">
        <w:rPr>
          <w:shd w:val="clear" w:color="auto" w:fill="FAFAFA"/>
        </w:rPr>
        <w:t>.</w:t>
      </w:r>
    </w:p>
    <w:p w14:paraId="17E73BD2" w14:textId="72E76C63" w:rsidR="00577376" w:rsidRPr="00577376" w:rsidRDefault="00577376" w:rsidP="00721A8B">
      <w:pPr>
        <w:pStyle w:val="ListParagraph"/>
        <w:numPr>
          <w:ilvl w:val="0"/>
          <w:numId w:val="64"/>
        </w:numPr>
        <w:rPr>
          <w:shd w:val="clear" w:color="auto" w:fill="FAFAFA"/>
        </w:rPr>
      </w:pPr>
      <w:r w:rsidRPr="00577376">
        <w:rPr>
          <w:shd w:val="clear" w:color="auto" w:fill="FAFAFA"/>
        </w:rPr>
        <w:t>Cooperate with UN agencies, other international organisations and governments of foreign countries for the purposes of disaster management under this Act. Coordinate requests for aid, and control and direct the allocation of aid provided by Government and Non-Government Agencies.</w:t>
      </w:r>
    </w:p>
    <w:p w14:paraId="1CEEB43E" w14:textId="3C584DE3" w:rsidR="00577376" w:rsidRPr="00577376" w:rsidRDefault="00577376" w:rsidP="00721A8B">
      <w:pPr>
        <w:pStyle w:val="ListParagraph"/>
        <w:numPr>
          <w:ilvl w:val="0"/>
          <w:numId w:val="64"/>
        </w:numPr>
        <w:rPr>
          <w:shd w:val="clear" w:color="auto" w:fill="FAFAFA"/>
        </w:rPr>
      </w:pPr>
      <w:r w:rsidRPr="00577376">
        <w:rPr>
          <w:shd w:val="clear" w:color="auto" w:fill="FAFAFA"/>
        </w:rPr>
        <w:t>Ensure that aid for disasters is used for the purpose for which it was provided.</w:t>
      </w:r>
    </w:p>
    <w:p w14:paraId="772F6796" w14:textId="5829C707" w:rsidR="00577376" w:rsidRPr="00577376" w:rsidRDefault="00577376" w:rsidP="00721A8B">
      <w:pPr>
        <w:pStyle w:val="ListParagraph"/>
        <w:numPr>
          <w:ilvl w:val="0"/>
          <w:numId w:val="64"/>
        </w:numPr>
        <w:rPr>
          <w:shd w:val="clear" w:color="auto" w:fill="FAFAFA"/>
        </w:rPr>
      </w:pPr>
      <w:r w:rsidRPr="00577376">
        <w:rPr>
          <w:shd w:val="clear" w:color="auto" w:fill="FAFAFA"/>
        </w:rPr>
        <w:t>Establish and maintain relations with international relief organisations to facilitate accessing of their resources in the event of a disaster.</w:t>
      </w:r>
    </w:p>
    <w:p w14:paraId="7CF208B8" w14:textId="6D3E633A" w:rsidR="00577376" w:rsidRPr="00577376" w:rsidRDefault="00577376" w:rsidP="00721A8B">
      <w:pPr>
        <w:pStyle w:val="ListParagraph"/>
        <w:numPr>
          <w:ilvl w:val="0"/>
          <w:numId w:val="64"/>
        </w:numPr>
        <w:rPr>
          <w:shd w:val="clear" w:color="auto" w:fill="FAFAFA"/>
        </w:rPr>
      </w:pPr>
      <w:r w:rsidRPr="00577376">
        <w:rPr>
          <w:shd w:val="clear" w:color="auto" w:fill="FAFAFA"/>
        </w:rPr>
        <w:t>Mobilise and organise technical assistance from interested national and international bodies to assist in the development of disaster response capabilities of the agency.</w:t>
      </w:r>
    </w:p>
    <w:p w14:paraId="21BABC68" w14:textId="27CF027F" w:rsidR="00577376" w:rsidRPr="00577376" w:rsidRDefault="00577376" w:rsidP="00721A8B">
      <w:pPr>
        <w:pStyle w:val="ListParagraph"/>
        <w:numPr>
          <w:ilvl w:val="0"/>
          <w:numId w:val="64"/>
        </w:numPr>
        <w:rPr>
          <w:shd w:val="clear" w:color="auto" w:fill="FAFAFA"/>
        </w:rPr>
      </w:pPr>
      <w:r w:rsidRPr="00577376">
        <w:rPr>
          <w:shd w:val="clear" w:color="auto" w:fill="FAFAFA"/>
        </w:rPr>
        <w:t xml:space="preserve">Provide a clearing house for relevant information and intelligence in all matters in relation to disasters including current research being undertaken </w:t>
      </w:r>
      <w:r w:rsidR="00C550DE" w:rsidRPr="00577376">
        <w:rPr>
          <w:shd w:val="clear" w:color="auto" w:fill="FAFAFA"/>
        </w:rPr>
        <w:t>in all</w:t>
      </w:r>
      <w:r w:rsidRPr="00577376">
        <w:rPr>
          <w:shd w:val="clear" w:color="auto" w:fill="FAFAFA"/>
        </w:rPr>
        <w:t xml:space="preserve"> related institutions.</w:t>
      </w:r>
    </w:p>
    <w:p w14:paraId="701840DE" w14:textId="172A97D4" w:rsidR="00F05D70" w:rsidRPr="00721A8B" w:rsidRDefault="00577376" w:rsidP="00721A8B">
      <w:pPr>
        <w:pStyle w:val="ListParagraph"/>
        <w:numPr>
          <w:ilvl w:val="0"/>
          <w:numId w:val="64"/>
        </w:numPr>
        <w:rPr>
          <w:shd w:val="clear" w:color="auto" w:fill="FAFAFA"/>
        </w:rPr>
      </w:pPr>
      <w:r w:rsidRPr="00577376">
        <w:rPr>
          <w:shd w:val="clear" w:color="auto" w:fill="FAFAFA"/>
        </w:rPr>
        <w:t>Liaise with domestic and international persons and organisations to exchange information and facilitate the harmonisation of their relevant policies with the government.</w:t>
      </w:r>
    </w:p>
    <w:p w14:paraId="4A11E2FF" w14:textId="07458E5B" w:rsidR="00046490" w:rsidRPr="00DE1BD4" w:rsidRDefault="00905FBA" w:rsidP="00046490">
      <w:pPr>
        <w:pStyle w:val="Heading2"/>
      </w:pPr>
      <w:bookmarkStart w:id="123" w:name="_43ky6rz"/>
      <w:bookmarkStart w:id="124" w:name="_Toc181885783"/>
      <w:bookmarkEnd w:id="115"/>
      <w:bookmarkEnd w:id="116"/>
      <w:bookmarkEnd w:id="117"/>
      <w:bookmarkEnd w:id="118"/>
      <w:bookmarkEnd w:id="119"/>
      <w:bookmarkEnd w:id="120"/>
      <w:bookmarkEnd w:id="123"/>
      <w:r>
        <w:t xml:space="preserve">Public Utilities </w:t>
      </w:r>
      <w:r w:rsidR="00046490" w:rsidRPr="00DE1BD4">
        <w:t>Regulatory Authority</w:t>
      </w:r>
      <w:bookmarkEnd w:id="124"/>
    </w:p>
    <w:p w14:paraId="6A7C025E" w14:textId="35891CD2" w:rsidR="00675737" w:rsidRDefault="00046490" w:rsidP="00046490">
      <w:bookmarkStart w:id="125" w:name="_Hlk180740822"/>
      <w:r w:rsidRPr="00DE1BD4">
        <w:t xml:space="preserve">The </w:t>
      </w:r>
      <w:r w:rsidR="00905FBA">
        <w:t>Gambian Public Utilities</w:t>
      </w:r>
      <w:r w:rsidRPr="00DE1BD4">
        <w:t xml:space="preserve"> Regulatory Authority (</w:t>
      </w:r>
      <w:r w:rsidR="00905FBA">
        <w:t>PURA</w:t>
      </w:r>
      <w:r w:rsidRPr="00DE1BD4">
        <w:t xml:space="preserve">) was established under </w:t>
      </w:r>
      <w:r w:rsidR="0053273A">
        <w:t>T</w:t>
      </w:r>
      <w:r w:rsidR="004A3411">
        <w:t>he Gambia</w:t>
      </w:r>
      <w:r w:rsidR="00294A34">
        <w:t xml:space="preserve"> Public Utilities Regulatory Act 2001 (the PURA Act)</w:t>
      </w:r>
      <w:r w:rsidR="00B52748">
        <w:t xml:space="preserve">. </w:t>
      </w:r>
      <w:r w:rsidRPr="00DE1BD4">
        <w:t xml:space="preserve">Under the </w:t>
      </w:r>
      <w:r w:rsidR="00B52748">
        <w:t xml:space="preserve">PURA </w:t>
      </w:r>
      <w:r w:rsidRPr="00DE1BD4">
        <w:t>Act</w:t>
      </w:r>
      <w:r w:rsidR="003A63E7">
        <w:t xml:space="preserve">, </w:t>
      </w:r>
      <w:r w:rsidR="00B52748">
        <w:t>PURA</w:t>
      </w:r>
      <w:r w:rsidRPr="00DE1BD4">
        <w:t xml:space="preserve"> is mandated to regulate </w:t>
      </w:r>
      <w:r w:rsidR="00CC3948">
        <w:t>certain “regulated industries” such as communications, transport</w:t>
      </w:r>
      <w:r w:rsidR="00FA6B7C">
        <w:t xml:space="preserve"> or energy that provide services directly or indirectly to the public</w:t>
      </w:r>
      <w:r w:rsidR="0095632C" w:rsidRPr="0045782B">
        <w:rPr>
          <w:rStyle w:val="FootnoteReference"/>
        </w:rPr>
        <w:footnoteReference w:id="36"/>
      </w:r>
      <w:r w:rsidR="00FA6B7C">
        <w:t>.</w:t>
      </w:r>
      <w:r w:rsidR="00F36950">
        <w:t xml:space="preserve"> Further</w:t>
      </w:r>
      <w:r w:rsidRPr="00DE1BD4">
        <w:t xml:space="preserve"> day-to-day operational activities of regulating the telecommunications market, </w:t>
      </w:r>
      <w:r w:rsidR="00F36950">
        <w:t xml:space="preserve">have been </w:t>
      </w:r>
      <w:r w:rsidR="00D73878">
        <w:t>clarified and set out under the</w:t>
      </w:r>
      <w:r w:rsidR="00202CFD">
        <w:t xml:space="preserve"> Information and Communication Act, 2009</w:t>
      </w:r>
      <w:r w:rsidR="00F35FCB" w:rsidRPr="0045782B">
        <w:rPr>
          <w:rStyle w:val="FootnoteReference"/>
        </w:rPr>
        <w:footnoteReference w:id="37"/>
      </w:r>
      <w:r w:rsidR="00FD03F1">
        <w:t>, includin</w:t>
      </w:r>
      <w:r w:rsidR="00675737">
        <w:t>g</w:t>
      </w:r>
    </w:p>
    <w:p w14:paraId="586CF5D2" w14:textId="12B6D1FD" w:rsidR="00675737" w:rsidRDefault="00675737" w:rsidP="00963CF3">
      <w:pPr>
        <w:pStyle w:val="ListParagraph"/>
        <w:numPr>
          <w:ilvl w:val="0"/>
          <w:numId w:val="53"/>
        </w:numPr>
      </w:pPr>
      <w:r>
        <w:t>P</w:t>
      </w:r>
      <w:r w:rsidR="00FD03F1" w:rsidRPr="00FD03F1">
        <w:t>rotect</w:t>
      </w:r>
      <w:r w:rsidR="00F35FCB">
        <w:t>ing</w:t>
      </w:r>
      <w:r w:rsidR="00FD03F1" w:rsidRPr="00FD03F1">
        <w:t xml:space="preserve"> the interests of consumers, purchasers, and other users of communications services</w:t>
      </w:r>
      <w:r>
        <w:t>.</w:t>
      </w:r>
    </w:p>
    <w:p w14:paraId="3B73C03E" w14:textId="580511A4" w:rsidR="00675737" w:rsidRDefault="00675737" w:rsidP="00963CF3">
      <w:pPr>
        <w:pStyle w:val="ListParagraph"/>
        <w:numPr>
          <w:ilvl w:val="0"/>
          <w:numId w:val="53"/>
        </w:numPr>
      </w:pPr>
      <w:r>
        <w:t>P</w:t>
      </w:r>
      <w:r w:rsidR="00FD03F1" w:rsidRPr="00FD03F1">
        <w:t>romot</w:t>
      </w:r>
      <w:r w:rsidR="00F35FCB">
        <w:t>ing</w:t>
      </w:r>
      <w:r w:rsidR="00FD03F1" w:rsidRPr="00FD03F1">
        <w:t xml:space="preserve"> access to information and the development of human resources in the communications </w:t>
      </w:r>
      <w:r w:rsidRPr="00FD03F1">
        <w:t>sector.</w:t>
      </w:r>
      <w:r w:rsidR="00FD03F1" w:rsidRPr="00FD03F1">
        <w:t xml:space="preserve"> </w:t>
      </w:r>
    </w:p>
    <w:p w14:paraId="1CB565C1" w14:textId="1E5E2BF8" w:rsidR="00675737" w:rsidRDefault="00675737" w:rsidP="00963CF3">
      <w:pPr>
        <w:pStyle w:val="ListParagraph"/>
        <w:numPr>
          <w:ilvl w:val="0"/>
          <w:numId w:val="53"/>
        </w:numPr>
      </w:pPr>
      <w:r>
        <w:t>P</w:t>
      </w:r>
      <w:r w:rsidR="00FD03F1" w:rsidRPr="00FD03F1">
        <w:t>romot</w:t>
      </w:r>
      <w:r w:rsidR="00F35FCB">
        <w:t>ing</w:t>
      </w:r>
      <w:r w:rsidR="00FD03F1" w:rsidRPr="00FD03F1">
        <w:t xml:space="preserve"> efficiency and competition among all the entities engaged in the provision of communications; and </w:t>
      </w:r>
    </w:p>
    <w:p w14:paraId="42167FC7" w14:textId="39326B2A" w:rsidR="00FD03F1" w:rsidRPr="00DE1BD4" w:rsidRDefault="006B633D" w:rsidP="00963CF3">
      <w:pPr>
        <w:pStyle w:val="ListParagraph"/>
        <w:numPr>
          <w:ilvl w:val="0"/>
          <w:numId w:val="53"/>
        </w:numPr>
      </w:pPr>
      <w:r>
        <w:t>A</w:t>
      </w:r>
      <w:r w:rsidRPr="00FD03F1">
        <w:t>dvis</w:t>
      </w:r>
      <w:r>
        <w:t>in</w:t>
      </w:r>
      <w:r w:rsidRPr="00FD03F1">
        <w:t>g</w:t>
      </w:r>
      <w:r w:rsidR="00FD03F1" w:rsidRPr="00FD03F1">
        <w:t xml:space="preserve"> the government on policy issues related to the communications sector, among other responsibilities</w:t>
      </w:r>
      <w:r w:rsidR="00675737">
        <w:t>.</w:t>
      </w:r>
    </w:p>
    <w:p w14:paraId="0B1395A1" w14:textId="07F4CDBB" w:rsidR="00046490" w:rsidRPr="00DE1BD4" w:rsidRDefault="00972484" w:rsidP="00046490">
      <w:r>
        <w:t>PURA</w:t>
      </w:r>
      <w:r w:rsidR="00046490" w:rsidRPr="00DE1BD4">
        <w:t xml:space="preserve"> provides statistical information on the telecommunications market in </w:t>
      </w:r>
      <w:r w:rsidR="001C7278">
        <w:t>T</w:t>
      </w:r>
      <w:r>
        <w:t>he Gambia</w:t>
      </w:r>
      <w:r w:rsidR="00D97CE3" w:rsidRPr="0045782B">
        <w:rPr>
          <w:rStyle w:val="FootnoteReference"/>
        </w:rPr>
        <w:footnoteReference w:id="38"/>
      </w:r>
      <w:r w:rsidR="00046490" w:rsidRPr="00DE1BD4">
        <w:t>. This provides information on key indicators such as</w:t>
      </w:r>
    </w:p>
    <w:p w14:paraId="09600959" w14:textId="77777777" w:rsidR="00046490" w:rsidRPr="00DE1BD4" w:rsidRDefault="00046490" w:rsidP="00963CF3">
      <w:pPr>
        <w:pStyle w:val="ListParagraph"/>
        <w:numPr>
          <w:ilvl w:val="0"/>
          <w:numId w:val="35"/>
        </w:numPr>
      </w:pPr>
      <w:r w:rsidRPr="00DE1BD4">
        <w:t>Mobile subscribers</w:t>
      </w:r>
    </w:p>
    <w:p w14:paraId="4453563A" w14:textId="77777777" w:rsidR="00046490" w:rsidRPr="00DE1BD4" w:rsidRDefault="00046490" w:rsidP="00963CF3">
      <w:pPr>
        <w:pStyle w:val="ListParagraph"/>
        <w:numPr>
          <w:ilvl w:val="0"/>
          <w:numId w:val="35"/>
        </w:numPr>
      </w:pPr>
      <w:r w:rsidRPr="00DE1BD4">
        <w:t>Fixed line subscribers</w:t>
      </w:r>
    </w:p>
    <w:p w14:paraId="4C1FC011" w14:textId="77777777" w:rsidR="00046490" w:rsidRPr="00DE1BD4" w:rsidRDefault="00046490" w:rsidP="00963CF3">
      <w:pPr>
        <w:pStyle w:val="ListParagraph"/>
        <w:numPr>
          <w:ilvl w:val="0"/>
          <w:numId w:val="35"/>
        </w:numPr>
      </w:pPr>
      <w:r w:rsidRPr="00DE1BD4">
        <w:t>Traffic</w:t>
      </w:r>
    </w:p>
    <w:p w14:paraId="79183393" w14:textId="77777777" w:rsidR="00046490" w:rsidRPr="00DE1BD4" w:rsidRDefault="00046490" w:rsidP="00963CF3">
      <w:pPr>
        <w:pStyle w:val="ListParagraph"/>
        <w:numPr>
          <w:ilvl w:val="0"/>
          <w:numId w:val="35"/>
        </w:numPr>
      </w:pPr>
      <w:r w:rsidRPr="00DE1BD4">
        <w:t>Revenue</w:t>
      </w:r>
    </w:p>
    <w:p w14:paraId="307F81B8" w14:textId="77777777" w:rsidR="00046490" w:rsidRPr="00DE1BD4" w:rsidRDefault="00046490" w:rsidP="00963CF3">
      <w:pPr>
        <w:pStyle w:val="ListParagraph"/>
        <w:numPr>
          <w:ilvl w:val="0"/>
          <w:numId w:val="35"/>
        </w:numPr>
      </w:pPr>
      <w:r w:rsidRPr="00DE1BD4">
        <w:t>Investment</w:t>
      </w:r>
    </w:p>
    <w:p w14:paraId="26A0384D" w14:textId="77777777" w:rsidR="00046490" w:rsidRPr="00DE1BD4" w:rsidRDefault="00046490" w:rsidP="00963CF3">
      <w:pPr>
        <w:pStyle w:val="ListParagraph"/>
        <w:numPr>
          <w:ilvl w:val="0"/>
          <w:numId w:val="35"/>
        </w:numPr>
      </w:pPr>
      <w:r w:rsidRPr="00DE1BD4">
        <w:t xml:space="preserve">Broadcasting services, and </w:t>
      </w:r>
    </w:p>
    <w:p w14:paraId="6B9CAE3F" w14:textId="77777777" w:rsidR="00046490" w:rsidRPr="00DE1BD4" w:rsidRDefault="00046490" w:rsidP="00963CF3">
      <w:pPr>
        <w:pStyle w:val="ListParagraph"/>
        <w:numPr>
          <w:ilvl w:val="0"/>
          <w:numId w:val="35"/>
        </w:numPr>
      </w:pPr>
      <w:r w:rsidRPr="00DE1BD4">
        <w:t>Postal services</w:t>
      </w:r>
    </w:p>
    <w:p w14:paraId="33761E22" w14:textId="76D71E16" w:rsidR="00506D5E" w:rsidRDefault="00506D5E" w:rsidP="00046490">
      <w:pPr>
        <w:pStyle w:val="Heading2"/>
      </w:pPr>
      <w:bookmarkStart w:id="126" w:name="_Toc181885784"/>
      <w:bookmarkEnd w:id="125"/>
      <w:r>
        <w:t>Ministry of Communications and Digital Economy</w:t>
      </w:r>
      <w:bookmarkEnd w:id="126"/>
    </w:p>
    <w:p w14:paraId="5A7A5AC2" w14:textId="46563710" w:rsidR="00506D5E" w:rsidRDefault="00030DB3" w:rsidP="00506D5E">
      <w:r>
        <w:t xml:space="preserve">The Ministry of </w:t>
      </w:r>
      <w:r w:rsidR="00B50EA6">
        <w:t xml:space="preserve">Communications and Digital Economy (MoCDE) </w:t>
      </w:r>
      <w:r w:rsidR="000D75B1">
        <w:t>is tasked with strengthening the digital infrastructure ecosystem</w:t>
      </w:r>
      <w:r w:rsidR="007A2943">
        <w:t xml:space="preserve"> through policy and regulatory actions to increase the use of digital solutions in the economy for improved productivity</w:t>
      </w:r>
      <w:r w:rsidR="00873314" w:rsidRPr="0045782B">
        <w:rPr>
          <w:rStyle w:val="FootnoteReference"/>
        </w:rPr>
        <w:footnoteReference w:id="39"/>
      </w:r>
      <w:r w:rsidR="003A7806">
        <w:t xml:space="preserve">. The Ministry </w:t>
      </w:r>
      <w:r w:rsidR="00392527">
        <w:t>has a</w:t>
      </w:r>
      <w:r w:rsidR="00B50EA6">
        <w:t xml:space="preserve"> responsibility of building and</w:t>
      </w:r>
      <w:r w:rsidR="000D75B1">
        <w:t xml:space="preserve"> maintain the </w:t>
      </w:r>
      <w:r w:rsidR="00392527">
        <w:t>national communications infrastructure</w:t>
      </w:r>
      <w:r w:rsidR="00C353BE">
        <w:t xml:space="preserve">, developing </w:t>
      </w:r>
      <w:r w:rsidR="000455F0">
        <w:t>enabling</w:t>
      </w:r>
      <w:r w:rsidR="00C353BE">
        <w:t xml:space="preserve"> policy</w:t>
      </w:r>
      <w:r w:rsidR="00B759EB">
        <w:t xml:space="preserve"> and leveraging digital technologies.</w:t>
      </w:r>
    </w:p>
    <w:p w14:paraId="6FA5325F" w14:textId="595BD81A" w:rsidR="00B759EB" w:rsidRDefault="00B759EB" w:rsidP="00506D5E">
      <w:r>
        <w:t>Within MoCDE resides various agencies including</w:t>
      </w:r>
    </w:p>
    <w:p w14:paraId="631BB67C" w14:textId="6B85967F" w:rsidR="00AA762B" w:rsidRDefault="00AA762B" w:rsidP="00963CF3">
      <w:pPr>
        <w:pStyle w:val="ListParagraph"/>
        <w:numPr>
          <w:ilvl w:val="0"/>
          <w:numId w:val="54"/>
        </w:numPr>
      </w:pPr>
      <w:r>
        <w:t>Gambia ICT Agency</w:t>
      </w:r>
    </w:p>
    <w:p w14:paraId="29742D0C" w14:textId="54B1D044" w:rsidR="00AA762B" w:rsidRDefault="00AA762B" w:rsidP="00963CF3">
      <w:pPr>
        <w:pStyle w:val="ListParagraph"/>
        <w:numPr>
          <w:ilvl w:val="0"/>
          <w:numId w:val="54"/>
        </w:numPr>
      </w:pPr>
      <w:proofErr w:type="spellStart"/>
      <w:r>
        <w:t>Gamcell</w:t>
      </w:r>
      <w:proofErr w:type="spellEnd"/>
    </w:p>
    <w:p w14:paraId="5636A080" w14:textId="7B1D5CBC" w:rsidR="00AA762B" w:rsidRDefault="00AA762B" w:rsidP="00963CF3">
      <w:pPr>
        <w:pStyle w:val="ListParagraph"/>
        <w:numPr>
          <w:ilvl w:val="0"/>
          <w:numId w:val="54"/>
        </w:numPr>
      </w:pPr>
      <w:r>
        <w:t>Gamtel</w:t>
      </w:r>
    </w:p>
    <w:p w14:paraId="0D577DB3" w14:textId="2BE31271" w:rsidR="00AA762B" w:rsidRDefault="00AA762B" w:rsidP="00963CF3">
      <w:pPr>
        <w:pStyle w:val="ListParagraph"/>
        <w:numPr>
          <w:ilvl w:val="0"/>
          <w:numId w:val="54"/>
        </w:numPr>
      </w:pPr>
      <w:proofErr w:type="spellStart"/>
      <w:r>
        <w:t>Gampost</w:t>
      </w:r>
      <w:proofErr w:type="spellEnd"/>
      <w:r>
        <w:t>, and</w:t>
      </w:r>
    </w:p>
    <w:p w14:paraId="3DAB3515" w14:textId="5990ED43" w:rsidR="00AA762B" w:rsidRPr="00506D5E" w:rsidRDefault="00AA762B" w:rsidP="00963CF3">
      <w:pPr>
        <w:pStyle w:val="ListParagraph"/>
        <w:numPr>
          <w:ilvl w:val="0"/>
          <w:numId w:val="54"/>
        </w:numPr>
      </w:pPr>
      <w:r>
        <w:t>Digital Gambia</w:t>
      </w:r>
    </w:p>
    <w:p w14:paraId="1E0F2E97" w14:textId="71FDDF8D" w:rsidR="00046490" w:rsidRPr="00DE1BD4" w:rsidRDefault="00727E7E" w:rsidP="00046490">
      <w:pPr>
        <w:pStyle w:val="Heading2"/>
      </w:pPr>
      <w:bookmarkStart w:id="127" w:name="_Toc181885785"/>
      <w:r>
        <w:t>Gambia ICT Agency</w:t>
      </w:r>
      <w:bookmarkEnd w:id="127"/>
    </w:p>
    <w:p w14:paraId="477B254E" w14:textId="43B42F44" w:rsidR="00046490" w:rsidRPr="00DE1BD4" w:rsidRDefault="00046490" w:rsidP="00046490">
      <w:r w:rsidRPr="00DE1BD4">
        <w:t xml:space="preserve">The </w:t>
      </w:r>
      <w:r w:rsidR="00B66303">
        <w:t>Gambia ICT Agency (GICTA)</w:t>
      </w:r>
      <w:r w:rsidRPr="00DE1BD4">
        <w:t xml:space="preserve"> is the key </w:t>
      </w:r>
      <w:r w:rsidR="00AC7740">
        <w:t>Agency</w:t>
      </w:r>
      <w:r w:rsidR="00B80305">
        <w:t xml:space="preserve"> tasked with empowering</w:t>
      </w:r>
      <w:r w:rsidR="00AC7740" w:rsidRPr="00AC7740">
        <w:t xml:space="preserve"> Gambia’s public sector and residents with smart and innovative cutting-edge digital solutions in all spheres of the public domain that promote collaboration, efficiency, inclusion, and accessibility; leading the coordination and standardi</w:t>
      </w:r>
      <w:r w:rsidR="0034139C">
        <w:t>s</w:t>
      </w:r>
      <w:r w:rsidR="00AC7740" w:rsidRPr="00AC7740">
        <w:t>ation of the design, implementation and management of comprehensive ICT initiatives and services; and fostering digital transformation and the reali</w:t>
      </w:r>
      <w:r w:rsidR="0034139C">
        <w:t>s</w:t>
      </w:r>
      <w:r w:rsidR="00AC7740" w:rsidRPr="00AC7740">
        <w:t>ation of the digital economy</w:t>
      </w:r>
      <w:r w:rsidR="00B26D78" w:rsidRPr="0045782B">
        <w:rPr>
          <w:rStyle w:val="FootnoteReference"/>
        </w:rPr>
        <w:footnoteReference w:id="40"/>
      </w:r>
      <w:r w:rsidR="00B26D78">
        <w:t>.</w:t>
      </w:r>
    </w:p>
    <w:p w14:paraId="3EA87DAB" w14:textId="34B5CD1C" w:rsidR="00647114" w:rsidRPr="00DE1BD4" w:rsidRDefault="00FE2611" w:rsidP="00647114">
      <w:pPr>
        <w:pStyle w:val="Heading2"/>
      </w:pPr>
      <w:bookmarkStart w:id="128" w:name="_Toc181885786"/>
      <w:r>
        <w:t>The Gambia</w:t>
      </w:r>
      <w:r w:rsidR="00647114" w:rsidRPr="00DE1BD4">
        <w:t xml:space="preserve"> Met</w:t>
      </w:r>
      <w:r w:rsidR="00D007EE" w:rsidRPr="00DE1BD4">
        <w:t>eo</w:t>
      </w:r>
      <w:r w:rsidR="00647114" w:rsidRPr="00DE1BD4">
        <w:t>rolog</w:t>
      </w:r>
      <w:r w:rsidR="00D007EE" w:rsidRPr="00DE1BD4">
        <w:t>ical</w:t>
      </w:r>
      <w:r w:rsidR="00647114" w:rsidRPr="00DE1BD4">
        <w:t xml:space="preserve"> </w:t>
      </w:r>
      <w:r w:rsidR="002F1F44">
        <w:t>Division</w:t>
      </w:r>
      <w:bookmarkEnd w:id="128"/>
    </w:p>
    <w:p w14:paraId="207C3D5E" w14:textId="5842BA24" w:rsidR="00353621" w:rsidRPr="00DE1BD4" w:rsidRDefault="00A3639B" w:rsidP="00A37B0C">
      <w:r w:rsidRPr="00DE1BD4">
        <w:t>The</w:t>
      </w:r>
      <w:r w:rsidR="00FE2611">
        <w:t xml:space="preserve"> Gambia</w:t>
      </w:r>
      <w:r w:rsidR="002C35F1" w:rsidRPr="00DE1BD4">
        <w:t xml:space="preserve"> </w:t>
      </w:r>
      <w:r w:rsidRPr="00DE1BD4">
        <w:t xml:space="preserve">Meteorology </w:t>
      </w:r>
      <w:r w:rsidR="002D4A90">
        <w:t>D</w:t>
      </w:r>
      <w:r w:rsidR="00463C27">
        <w:t>ivision</w:t>
      </w:r>
      <w:r w:rsidR="00463C27" w:rsidRPr="0045782B">
        <w:rPr>
          <w:rStyle w:val="FootnoteReference"/>
        </w:rPr>
        <w:footnoteReference w:id="41"/>
      </w:r>
      <w:r w:rsidR="00E40239">
        <w:t xml:space="preserve"> </w:t>
      </w:r>
      <w:r w:rsidR="002D4A90">
        <w:t xml:space="preserve">sits </w:t>
      </w:r>
      <w:r w:rsidR="007B018D">
        <w:t xml:space="preserve">under the </w:t>
      </w:r>
      <w:r w:rsidR="00942BB8">
        <w:t>Ministry</w:t>
      </w:r>
      <w:r w:rsidR="007B018D">
        <w:t xml:space="preserve"> of Fisheries and Water Resources </w:t>
      </w:r>
      <w:r w:rsidR="00942BB8">
        <w:t>(</w:t>
      </w:r>
      <w:proofErr w:type="spellStart"/>
      <w:r w:rsidR="00942BB8">
        <w:t>MoFWR</w:t>
      </w:r>
      <w:proofErr w:type="spellEnd"/>
      <w:r w:rsidR="00942BB8">
        <w:t xml:space="preserve">) </w:t>
      </w:r>
      <w:r w:rsidR="007B018D">
        <w:t xml:space="preserve">and </w:t>
      </w:r>
      <w:r w:rsidR="0017000A" w:rsidRPr="00DE1BD4">
        <w:t>is</w:t>
      </w:r>
      <w:r w:rsidRPr="00DE1BD4">
        <w:t xml:space="preserve"> the national </w:t>
      </w:r>
      <w:r w:rsidR="00942BB8">
        <w:t>a</w:t>
      </w:r>
      <w:r w:rsidR="00BC1598">
        <w:t>gency</w:t>
      </w:r>
      <w:r w:rsidRPr="00DE1BD4">
        <w:t xml:space="preserve"> for the provision of official meteorological forecasts and warnings. </w:t>
      </w:r>
      <w:r w:rsidR="00942BB8">
        <w:t xml:space="preserve">The </w:t>
      </w:r>
      <w:proofErr w:type="spellStart"/>
      <w:r w:rsidR="00942BB8">
        <w:t>MoFWR</w:t>
      </w:r>
      <w:proofErr w:type="spellEnd"/>
      <w:r w:rsidR="00A37B0C" w:rsidRPr="00DE1BD4">
        <w:t xml:space="preserve"> is r</w:t>
      </w:r>
      <w:r w:rsidR="00353621" w:rsidRPr="00DE1BD4">
        <w:t xml:space="preserve">esponsible for </w:t>
      </w:r>
      <w:r w:rsidR="00142B49">
        <w:t xml:space="preserve">the provision of </w:t>
      </w:r>
      <w:r w:rsidR="00353621" w:rsidRPr="00DE1BD4">
        <w:t xml:space="preserve">Alerts and Warnings via </w:t>
      </w:r>
      <w:r w:rsidR="004A0867">
        <w:t>Extreme</w:t>
      </w:r>
      <w:r w:rsidR="00353621" w:rsidRPr="00DE1BD4">
        <w:t xml:space="preserve"> Weather </w:t>
      </w:r>
      <w:r w:rsidR="0021351D">
        <w:t>Reports</w:t>
      </w:r>
      <w:r w:rsidR="00353621" w:rsidRPr="00DE1BD4">
        <w:t>.</w:t>
      </w:r>
    </w:p>
    <w:p w14:paraId="28636572" w14:textId="0AB98077" w:rsidR="00A3639B" w:rsidRPr="00DE1BD4" w:rsidRDefault="00A3639B" w:rsidP="00A3639B">
      <w:pPr>
        <w:rPr>
          <w:rFonts w:asciiTheme="minorHAnsi" w:hAnsiTheme="minorHAnsi" w:cstheme="minorHAnsi"/>
        </w:rPr>
      </w:pPr>
      <w:r w:rsidRPr="00DE1BD4">
        <w:rPr>
          <w:rFonts w:asciiTheme="minorHAnsi" w:hAnsiTheme="minorHAnsi" w:cstheme="minorHAnsi"/>
        </w:rPr>
        <w:t xml:space="preserve">The </w:t>
      </w:r>
      <w:proofErr w:type="spellStart"/>
      <w:r w:rsidR="00142B49">
        <w:rPr>
          <w:rFonts w:asciiTheme="minorHAnsi" w:hAnsiTheme="minorHAnsi" w:cstheme="minorHAnsi"/>
        </w:rPr>
        <w:t>MoFWR</w:t>
      </w:r>
      <w:proofErr w:type="spellEnd"/>
      <w:r w:rsidR="0084359F" w:rsidRPr="00DE1BD4">
        <w:rPr>
          <w:rFonts w:asciiTheme="minorHAnsi" w:hAnsiTheme="minorHAnsi" w:cstheme="minorHAnsi"/>
        </w:rPr>
        <w:t xml:space="preserve"> is also the alerting authority</w:t>
      </w:r>
      <w:r w:rsidR="0084359F" w:rsidRPr="0045782B">
        <w:rPr>
          <w:rStyle w:val="FootnoteReference"/>
        </w:rPr>
        <w:footnoteReference w:id="42"/>
      </w:r>
      <w:r w:rsidR="0084359F" w:rsidRPr="00DE1BD4">
        <w:rPr>
          <w:rFonts w:asciiTheme="minorHAnsi" w:hAnsiTheme="minorHAnsi" w:cstheme="minorHAnsi"/>
        </w:rPr>
        <w:t xml:space="preserve"> for the </w:t>
      </w:r>
      <w:r w:rsidR="00411DDB">
        <w:rPr>
          <w:rFonts w:asciiTheme="minorHAnsi" w:hAnsiTheme="minorHAnsi" w:cstheme="minorHAnsi"/>
        </w:rPr>
        <w:t xml:space="preserve">operation and </w:t>
      </w:r>
      <w:r w:rsidR="00B23AA6">
        <w:rPr>
          <w:rFonts w:asciiTheme="minorHAnsi" w:hAnsiTheme="minorHAnsi" w:cstheme="minorHAnsi"/>
        </w:rPr>
        <w:t xml:space="preserve">activation </w:t>
      </w:r>
      <w:r w:rsidR="0084359F" w:rsidRPr="00DE1BD4">
        <w:rPr>
          <w:rFonts w:asciiTheme="minorHAnsi" w:hAnsiTheme="minorHAnsi" w:cstheme="minorHAnsi"/>
        </w:rPr>
        <w:t>of the Common Alerting Protocol (CAP) for use in early warnings</w:t>
      </w:r>
      <w:r w:rsidR="008D024B">
        <w:rPr>
          <w:rFonts w:asciiTheme="minorHAnsi" w:hAnsiTheme="minorHAnsi" w:cstheme="minorHAnsi"/>
        </w:rPr>
        <w:t>.</w:t>
      </w:r>
    </w:p>
    <w:p w14:paraId="7FA141CC" w14:textId="4162ACEA" w:rsidR="00FA6D6A" w:rsidRPr="00DE1BD4" w:rsidRDefault="00815931" w:rsidP="004408F2">
      <w:pPr>
        <w:pStyle w:val="Heading2"/>
      </w:pPr>
      <w:bookmarkStart w:id="129" w:name="_Toc181885787"/>
      <w:r w:rsidRPr="00DE1BD4">
        <w:t xml:space="preserve">National </w:t>
      </w:r>
      <w:r w:rsidR="001D25EF" w:rsidRPr="00DE1BD4">
        <w:t>Sector</w:t>
      </w:r>
      <w:r w:rsidRPr="00DE1BD4">
        <w:t>s</w:t>
      </w:r>
      <w:bookmarkEnd w:id="129"/>
    </w:p>
    <w:p w14:paraId="6DC7E9A5" w14:textId="231B0966" w:rsidR="00E7115F" w:rsidRPr="00DE1BD4" w:rsidRDefault="000036E7" w:rsidP="00A1007E">
      <w:r w:rsidRPr="00D92183">
        <w:rPr>
          <w:highlight w:val="yellow"/>
        </w:rPr>
        <w:t>T</w:t>
      </w:r>
      <w:r w:rsidR="00D92183" w:rsidRPr="00D92183">
        <w:rPr>
          <w:highlight w:val="yellow"/>
        </w:rPr>
        <w:t>he Gambia</w:t>
      </w:r>
      <w:r w:rsidR="00E0406A" w:rsidRPr="00D92183">
        <w:rPr>
          <w:highlight w:val="yellow"/>
        </w:rPr>
        <w:t xml:space="preserve"> operates a </w:t>
      </w:r>
      <w:r w:rsidR="001D25EF" w:rsidRPr="00D92183">
        <w:rPr>
          <w:highlight w:val="yellow"/>
        </w:rPr>
        <w:t xml:space="preserve">sector or </w:t>
      </w:r>
      <w:r w:rsidR="00E0406A" w:rsidRPr="00D92183">
        <w:rPr>
          <w:highlight w:val="yellow"/>
        </w:rPr>
        <w:t>cluster system</w:t>
      </w:r>
      <w:r w:rsidR="00E7115F" w:rsidRPr="00DE1BD4">
        <w:t xml:space="preserve">. These sectors and lead agencies are </w:t>
      </w:r>
      <w:r w:rsidR="001E0FEB" w:rsidRPr="00DE1BD4">
        <w:t>identified</w:t>
      </w:r>
      <w:r w:rsidR="00E7115F" w:rsidRPr="00DE1BD4">
        <w:t xml:space="preserve"> in </w:t>
      </w:r>
      <w:r w:rsidR="001E0FEB" w:rsidRPr="00DE1BD4">
        <w:fldChar w:fldCharType="begin"/>
      </w:r>
      <w:r w:rsidR="001E0FEB" w:rsidRPr="00DE1BD4">
        <w:instrText xml:space="preserve"> REF _Ref168225716 \h </w:instrText>
      </w:r>
      <w:r w:rsidR="001E0FEB" w:rsidRPr="00DE1BD4">
        <w:fldChar w:fldCharType="separate"/>
      </w:r>
      <w:r w:rsidR="00D92183" w:rsidRPr="00DE1BD4">
        <w:t xml:space="preserve">Table </w:t>
      </w:r>
      <w:r w:rsidR="00D92183">
        <w:rPr>
          <w:noProof/>
        </w:rPr>
        <w:t>1</w:t>
      </w:r>
      <w:r w:rsidR="001E0FEB" w:rsidRPr="00DE1BD4">
        <w:fldChar w:fldCharType="end"/>
      </w:r>
      <w:r w:rsidR="001E0FEB" w:rsidRPr="00DE1BD4">
        <w:t xml:space="preserve"> below</w:t>
      </w:r>
      <w:r w:rsidR="00FA3F62" w:rsidRPr="00DE1BD4">
        <w:t>.</w:t>
      </w:r>
    </w:p>
    <w:p w14:paraId="2FF3B07C" w14:textId="075D7D74" w:rsidR="00E7115F" w:rsidRPr="00DE1BD4" w:rsidRDefault="001E0FEB" w:rsidP="001E0FEB">
      <w:pPr>
        <w:pStyle w:val="Caption"/>
        <w:jc w:val="center"/>
      </w:pPr>
      <w:bookmarkStart w:id="130" w:name="_Ref168225716"/>
      <w:bookmarkStart w:id="131" w:name="_Toc181885855"/>
      <w:r w:rsidRPr="00DE1BD4">
        <w:t xml:space="preserve">Table </w:t>
      </w:r>
      <w:r w:rsidRPr="00DE1BD4">
        <w:fldChar w:fldCharType="begin"/>
      </w:r>
      <w:r w:rsidRPr="00DE1BD4">
        <w:instrText xml:space="preserve"> SEQ Table \* ARABIC </w:instrText>
      </w:r>
      <w:r w:rsidRPr="00DE1BD4">
        <w:fldChar w:fldCharType="separate"/>
      </w:r>
      <w:r w:rsidR="001317F1">
        <w:rPr>
          <w:noProof/>
        </w:rPr>
        <w:t>2</w:t>
      </w:r>
      <w:r w:rsidRPr="00DE1BD4">
        <w:fldChar w:fldCharType="end"/>
      </w:r>
      <w:bookmarkEnd w:id="130"/>
      <w:r w:rsidRPr="00DE1BD4">
        <w:t xml:space="preserve"> </w:t>
      </w:r>
      <w:r w:rsidR="00676859">
        <w:t>–</w:t>
      </w:r>
      <w:r w:rsidRPr="00DE1BD4">
        <w:t xml:space="preserve"> </w:t>
      </w:r>
      <w:r w:rsidR="00196392">
        <w:t>T</w:t>
      </w:r>
      <w:r w:rsidR="00676859">
        <w:t>he Gambia</w:t>
      </w:r>
      <w:r w:rsidRPr="00DE1BD4">
        <w:t xml:space="preserve"> Sector Structure</w:t>
      </w:r>
      <w:bookmarkEnd w:id="131"/>
    </w:p>
    <w:tbl>
      <w:tblPr>
        <w:tblStyle w:val="TableGrid"/>
        <w:tblW w:w="0" w:type="auto"/>
        <w:tblInd w:w="-5" w:type="dxa"/>
        <w:tblLook w:val="04A0" w:firstRow="1" w:lastRow="0" w:firstColumn="1" w:lastColumn="0" w:noHBand="0" w:noVBand="1"/>
      </w:tblPr>
      <w:tblGrid>
        <w:gridCol w:w="2977"/>
        <w:gridCol w:w="1881"/>
        <w:gridCol w:w="2244"/>
        <w:gridCol w:w="1397"/>
      </w:tblGrid>
      <w:tr w:rsidR="00D92183" w:rsidRPr="009B322A" w14:paraId="52FBD183" w14:textId="77777777" w:rsidTr="00D92183">
        <w:trPr>
          <w:trHeight w:val="285"/>
          <w:tblHeader/>
        </w:trPr>
        <w:tc>
          <w:tcPr>
            <w:tcW w:w="2977" w:type="dxa"/>
            <w:shd w:val="clear" w:color="auto" w:fill="0070C0"/>
            <w:noWrap/>
            <w:hideMark/>
          </w:tcPr>
          <w:p w14:paraId="3F65B28B" w14:textId="77777777" w:rsidR="00D92183" w:rsidRPr="009B322A" w:rsidRDefault="00D92183" w:rsidP="009B322A">
            <w:pPr>
              <w:jc w:val="center"/>
              <w:rPr>
                <w:b/>
                <w:bCs/>
                <w:color w:val="FFFFFF" w:themeColor="background1"/>
              </w:rPr>
            </w:pPr>
            <w:r w:rsidRPr="009B322A">
              <w:rPr>
                <w:b/>
                <w:bCs/>
                <w:color w:val="FFFFFF" w:themeColor="background1"/>
              </w:rPr>
              <w:t>Sector</w:t>
            </w:r>
          </w:p>
        </w:tc>
        <w:tc>
          <w:tcPr>
            <w:tcW w:w="1881" w:type="dxa"/>
            <w:shd w:val="clear" w:color="auto" w:fill="0070C0"/>
          </w:tcPr>
          <w:p w14:paraId="57335AC4" w14:textId="77777777" w:rsidR="00D92183" w:rsidRPr="009B322A" w:rsidRDefault="00D92183" w:rsidP="009B322A">
            <w:pPr>
              <w:jc w:val="center"/>
              <w:rPr>
                <w:b/>
                <w:bCs/>
                <w:color w:val="FFFFFF" w:themeColor="background1"/>
              </w:rPr>
            </w:pPr>
          </w:p>
        </w:tc>
        <w:tc>
          <w:tcPr>
            <w:tcW w:w="2244" w:type="dxa"/>
            <w:shd w:val="clear" w:color="auto" w:fill="0070C0"/>
            <w:hideMark/>
          </w:tcPr>
          <w:p w14:paraId="3B7F45C1" w14:textId="0A82CE5C" w:rsidR="00D92183" w:rsidRPr="009B322A" w:rsidRDefault="00D92183" w:rsidP="009B322A">
            <w:pPr>
              <w:jc w:val="center"/>
              <w:rPr>
                <w:b/>
                <w:bCs/>
                <w:color w:val="FFFFFF" w:themeColor="background1"/>
              </w:rPr>
            </w:pPr>
            <w:r w:rsidRPr="009B322A">
              <w:rPr>
                <w:b/>
                <w:bCs/>
                <w:color w:val="FFFFFF" w:themeColor="background1"/>
              </w:rPr>
              <w:t>Lead Ministry</w:t>
            </w:r>
          </w:p>
        </w:tc>
        <w:tc>
          <w:tcPr>
            <w:tcW w:w="1397" w:type="dxa"/>
            <w:shd w:val="clear" w:color="auto" w:fill="0070C0"/>
            <w:hideMark/>
          </w:tcPr>
          <w:p w14:paraId="1CA3CCFD" w14:textId="77777777" w:rsidR="00D92183" w:rsidRPr="009B322A" w:rsidRDefault="00D92183" w:rsidP="009B322A">
            <w:pPr>
              <w:jc w:val="center"/>
              <w:rPr>
                <w:b/>
                <w:bCs/>
                <w:color w:val="FFFFFF" w:themeColor="background1"/>
              </w:rPr>
            </w:pPr>
            <w:r w:rsidRPr="009B322A">
              <w:rPr>
                <w:b/>
                <w:bCs/>
                <w:color w:val="FFFFFF" w:themeColor="background1"/>
              </w:rPr>
              <w:t>Co-lead</w:t>
            </w:r>
          </w:p>
        </w:tc>
      </w:tr>
      <w:tr w:rsidR="00D92183" w:rsidRPr="009B322A" w14:paraId="239C6257" w14:textId="77777777" w:rsidTr="00D92183">
        <w:trPr>
          <w:trHeight w:val="285"/>
        </w:trPr>
        <w:tc>
          <w:tcPr>
            <w:tcW w:w="2977" w:type="dxa"/>
            <w:noWrap/>
            <w:vAlign w:val="center"/>
          </w:tcPr>
          <w:p w14:paraId="21A172FF" w14:textId="09BFF579" w:rsidR="00D92183" w:rsidRPr="009B322A" w:rsidRDefault="00D92183" w:rsidP="00196392">
            <w:pPr>
              <w:jc w:val="left"/>
            </w:pPr>
          </w:p>
        </w:tc>
        <w:tc>
          <w:tcPr>
            <w:tcW w:w="1881" w:type="dxa"/>
          </w:tcPr>
          <w:p w14:paraId="0F4DDC38" w14:textId="77777777" w:rsidR="00D92183" w:rsidRPr="009B322A" w:rsidRDefault="00D92183" w:rsidP="00196392">
            <w:pPr>
              <w:jc w:val="left"/>
            </w:pPr>
          </w:p>
        </w:tc>
        <w:tc>
          <w:tcPr>
            <w:tcW w:w="2244" w:type="dxa"/>
            <w:vAlign w:val="center"/>
          </w:tcPr>
          <w:p w14:paraId="49C56366" w14:textId="18D06F63" w:rsidR="00D92183" w:rsidRPr="009B322A" w:rsidRDefault="00D92183" w:rsidP="00196392">
            <w:pPr>
              <w:jc w:val="left"/>
            </w:pPr>
          </w:p>
        </w:tc>
        <w:tc>
          <w:tcPr>
            <w:tcW w:w="1397" w:type="dxa"/>
            <w:vAlign w:val="center"/>
          </w:tcPr>
          <w:p w14:paraId="348313D3" w14:textId="57203009" w:rsidR="00D92183" w:rsidRPr="009B322A" w:rsidRDefault="00D92183" w:rsidP="00196392">
            <w:pPr>
              <w:jc w:val="left"/>
            </w:pPr>
          </w:p>
        </w:tc>
      </w:tr>
      <w:tr w:rsidR="00D92183" w:rsidRPr="009B322A" w14:paraId="1809EE97" w14:textId="77777777" w:rsidTr="00D92183">
        <w:trPr>
          <w:trHeight w:val="285"/>
        </w:trPr>
        <w:tc>
          <w:tcPr>
            <w:tcW w:w="2977" w:type="dxa"/>
            <w:noWrap/>
            <w:vAlign w:val="center"/>
          </w:tcPr>
          <w:p w14:paraId="41757188" w14:textId="669BDE32" w:rsidR="00D92183" w:rsidRPr="009B322A" w:rsidRDefault="00D92183" w:rsidP="00196392">
            <w:pPr>
              <w:jc w:val="left"/>
            </w:pPr>
          </w:p>
        </w:tc>
        <w:tc>
          <w:tcPr>
            <w:tcW w:w="1881" w:type="dxa"/>
          </w:tcPr>
          <w:p w14:paraId="3D5437D8" w14:textId="77777777" w:rsidR="00D92183" w:rsidRPr="009B322A" w:rsidRDefault="00D92183" w:rsidP="00196392">
            <w:pPr>
              <w:jc w:val="left"/>
            </w:pPr>
          </w:p>
        </w:tc>
        <w:tc>
          <w:tcPr>
            <w:tcW w:w="2244" w:type="dxa"/>
            <w:vAlign w:val="center"/>
          </w:tcPr>
          <w:p w14:paraId="519144A6" w14:textId="6A28E132" w:rsidR="00D92183" w:rsidRPr="009B322A" w:rsidRDefault="00D92183" w:rsidP="00196392">
            <w:pPr>
              <w:jc w:val="left"/>
            </w:pPr>
          </w:p>
        </w:tc>
        <w:tc>
          <w:tcPr>
            <w:tcW w:w="1397" w:type="dxa"/>
            <w:vAlign w:val="center"/>
          </w:tcPr>
          <w:p w14:paraId="4D0370C4" w14:textId="2438D443" w:rsidR="00D92183" w:rsidRPr="009B322A" w:rsidRDefault="00D92183" w:rsidP="00196392">
            <w:pPr>
              <w:jc w:val="left"/>
            </w:pPr>
          </w:p>
        </w:tc>
      </w:tr>
      <w:tr w:rsidR="00D92183" w:rsidRPr="009B322A" w14:paraId="568D3F22" w14:textId="77777777" w:rsidTr="00D92183">
        <w:trPr>
          <w:trHeight w:val="285"/>
        </w:trPr>
        <w:tc>
          <w:tcPr>
            <w:tcW w:w="2977" w:type="dxa"/>
            <w:noWrap/>
            <w:vAlign w:val="center"/>
          </w:tcPr>
          <w:p w14:paraId="5012D319" w14:textId="5E50697A" w:rsidR="00D92183" w:rsidRPr="009B322A" w:rsidRDefault="00D92183" w:rsidP="00196392">
            <w:pPr>
              <w:jc w:val="left"/>
            </w:pPr>
          </w:p>
        </w:tc>
        <w:tc>
          <w:tcPr>
            <w:tcW w:w="1881" w:type="dxa"/>
          </w:tcPr>
          <w:p w14:paraId="49340E19" w14:textId="77777777" w:rsidR="00D92183" w:rsidRPr="009B322A" w:rsidRDefault="00D92183" w:rsidP="00196392">
            <w:pPr>
              <w:jc w:val="left"/>
            </w:pPr>
          </w:p>
        </w:tc>
        <w:tc>
          <w:tcPr>
            <w:tcW w:w="2244" w:type="dxa"/>
            <w:vAlign w:val="center"/>
          </w:tcPr>
          <w:p w14:paraId="7D39416B" w14:textId="12AB1AE9" w:rsidR="00D92183" w:rsidRPr="009B322A" w:rsidRDefault="00D92183" w:rsidP="00196392">
            <w:pPr>
              <w:jc w:val="left"/>
            </w:pPr>
          </w:p>
        </w:tc>
        <w:tc>
          <w:tcPr>
            <w:tcW w:w="1397" w:type="dxa"/>
            <w:vAlign w:val="center"/>
          </w:tcPr>
          <w:p w14:paraId="188F8FD3" w14:textId="04A80DE4" w:rsidR="00D92183" w:rsidRPr="009B322A" w:rsidRDefault="00D92183" w:rsidP="00196392">
            <w:pPr>
              <w:jc w:val="left"/>
            </w:pPr>
          </w:p>
        </w:tc>
      </w:tr>
      <w:tr w:rsidR="00D92183" w:rsidRPr="009B322A" w14:paraId="5AD6B81E" w14:textId="77777777" w:rsidTr="00D92183">
        <w:trPr>
          <w:trHeight w:val="285"/>
        </w:trPr>
        <w:tc>
          <w:tcPr>
            <w:tcW w:w="2977" w:type="dxa"/>
            <w:noWrap/>
            <w:vAlign w:val="center"/>
          </w:tcPr>
          <w:p w14:paraId="03BBDF03" w14:textId="65C84018" w:rsidR="00D92183" w:rsidRPr="009B322A" w:rsidRDefault="00D92183" w:rsidP="00196392">
            <w:pPr>
              <w:jc w:val="left"/>
            </w:pPr>
          </w:p>
        </w:tc>
        <w:tc>
          <w:tcPr>
            <w:tcW w:w="1881" w:type="dxa"/>
          </w:tcPr>
          <w:p w14:paraId="1EC0F9CA" w14:textId="77777777" w:rsidR="00D92183" w:rsidRPr="009B322A" w:rsidRDefault="00D92183" w:rsidP="00196392">
            <w:pPr>
              <w:jc w:val="left"/>
            </w:pPr>
          </w:p>
        </w:tc>
        <w:tc>
          <w:tcPr>
            <w:tcW w:w="2244" w:type="dxa"/>
            <w:vAlign w:val="center"/>
          </w:tcPr>
          <w:p w14:paraId="59671988" w14:textId="554A4EE1" w:rsidR="00D92183" w:rsidRPr="009B322A" w:rsidRDefault="00D92183" w:rsidP="00196392">
            <w:pPr>
              <w:jc w:val="left"/>
            </w:pPr>
          </w:p>
        </w:tc>
        <w:tc>
          <w:tcPr>
            <w:tcW w:w="1397" w:type="dxa"/>
            <w:vAlign w:val="center"/>
          </w:tcPr>
          <w:p w14:paraId="634B4D06" w14:textId="4DEB649B" w:rsidR="00D92183" w:rsidRPr="009B322A" w:rsidRDefault="00D92183" w:rsidP="00196392">
            <w:pPr>
              <w:jc w:val="left"/>
            </w:pPr>
          </w:p>
        </w:tc>
      </w:tr>
    </w:tbl>
    <w:p w14:paraId="303F6DB0" w14:textId="77777777" w:rsidR="009B322A" w:rsidRPr="00DE1BD4" w:rsidRDefault="009B322A" w:rsidP="00A1007E"/>
    <w:p w14:paraId="64FF0FC3" w14:textId="01E5D53B" w:rsidR="00663423" w:rsidRPr="00DE1BD4" w:rsidRDefault="00E5592A" w:rsidP="00A1007E">
      <w:r w:rsidRPr="00DE1BD4">
        <w:t>Sectors</w:t>
      </w:r>
      <w:r w:rsidR="00663423" w:rsidRPr="00DE1BD4">
        <w:t xml:space="preserve"> will be required to prepare standard operating procedures and annual reports, and Cluster Response and Recovery Plans before or immediately after a disaster event.</w:t>
      </w:r>
    </w:p>
    <w:p w14:paraId="4976A3A7" w14:textId="45503B9E" w:rsidR="00B87B21" w:rsidRPr="00DE1BD4" w:rsidRDefault="00B87FF6" w:rsidP="00B87B21">
      <w:r w:rsidRPr="00DE1BD4">
        <w:t>It should also be noted that many countries have a dedicated Sector or cluster for Communications</w:t>
      </w:r>
      <w:r w:rsidR="007958E5" w:rsidRPr="00DE1BD4">
        <w:t xml:space="preserve"> generally led by the associated Ministry for Information Technology and Communi</w:t>
      </w:r>
      <w:r w:rsidR="00FB6C4E" w:rsidRPr="00DE1BD4">
        <w:t xml:space="preserve">cations. This sector clearly just focusses on the telecommunications aspect of DRM due to the </w:t>
      </w:r>
      <w:r w:rsidR="00790FFB" w:rsidRPr="00DE1BD4">
        <w:t xml:space="preserve">importance that telecommunications </w:t>
      </w:r>
      <w:r w:rsidR="00832877" w:rsidRPr="00DE1BD4">
        <w:t>play</w:t>
      </w:r>
      <w:r w:rsidR="00790FFB" w:rsidRPr="00DE1BD4">
        <w:t xml:space="preserve"> in all phases of a disaster. </w:t>
      </w:r>
    </w:p>
    <w:p w14:paraId="01728705" w14:textId="77777777" w:rsidR="00AE4B2E" w:rsidRPr="00DE1BD4" w:rsidRDefault="00AE4B2E" w:rsidP="002520EB">
      <w:pPr>
        <w:pStyle w:val="Heading2"/>
      </w:pPr>
      <w:bookmarkStart w:id="132" w:name="_Toc181885788"/>
      <w:r w:rsidRPr="00DE1BD4">
        <w:t>National Emergency Telecommunication Cluster</w:t>
      </w:r>
      <w:bookmarkEnd w:id="132"/>
    </w:p>
    <w:p w14:paraId="59D6C9B8" w14:textId="4A97C510" w:rsidR="00BC0A15" w:rsidRPr="00DE1BD4" w:rsidRDefault="00E41346" w:rsidP="00AE4B2E">
      <w:pPr>
        <w:rPr>
          <w:rStyle w:val="normaltextrun"/>
          <w:color w:val="000000"/>
          <w:shd w:val="clear" w:color="auto" w:fill="FFFFFF"/>
        </w:rPr>
      </w:pPr>
      <w:r w:rsidRPr="00DE1BD4">
        <w:t>A</w:t>
      </w:r>
      <w:r w:rsidR="00BC0A15" w:rsidRPr="00DE1BD4">
        <w:t xml:space="preserve"> </w:t>
      </w:r>
      <w:r w:rsidR="000D5059" w:rsidRPr="00DE1BD4">
        <w:t xml:space="preserve">Telecommunications Cluster will be key to facilitating the implementation of the NETP </w:t>
      </w:r>
      <w:r w:rsidRPr="00DE1BD4">
        <w:t>Implementation I</w:t>
      </w:r>
      <w:r w:rsidR="000D5059" w:rsidRPr="00DE1BD4">
        <w:t>tems</w:t>
      </w:r>
      <w:r w:rsidR="00425667" w:rsidRPr="00DE1BD4">
        <w:t>.</w:t>
      </w:r>
      <w:r w:rsidR="00B46E40" w:rsidRPr="00DE1BD4">
        <w:t xml:space="preserve"> </w:t>
      </w:r>
      <w:r w:rsidR="00460CA2" w:rsidRPr="00DE1BD4">
        <w:t xml:space="preserve">The cluster </w:t>
      </w:r>
      <w:r w:rsidR="000D5059" w:rsidRPr="00DE1BD4">
        <w:t xml:space="preserve">must be well supported to ensure that identified gaps in </w:t>
      </w:r>
      <w:r w:rsidR="00EC043E">
        <w:t>The Gambia</w:t>
      </w:r>
      <w:r w:rsidR="00425667" w:rsidRPr="00DE1BD4">
        <w:t>’s</w:t>
      </w:r>
      <w:r w:rsidR="000D5059" w:rsidRPr="00DE1BD4">
        <w:t xml:space="preserve"> </w:t>
      </w:r>
      <w:r w:rsidR="00460CA2" w:rsidRPr="00DE1BD4">
        <w:t xml:space="preserve">emergency </w:t>
      </w:r>
      <w:r w:rsidR="000D5059" w:rsidRPr="00DE1BD4">
        <w:t xml:space="preserve">telecommunications </w:t>
      </w:r>
      <w:r w:rsidR="00425667" w:rsidRPr="00DE1BD4">
        <w:t xml:space="preserve">capacity </w:t>
      </w:r>
      <w:r w:rsidR="000D5059" w:rsidRPr="00DE1BD4">
        <w:t>are closed, and that cross-sector</w:t>
      </w:r>
      <w:r w:rsidR="00460CA2" w:rsidRPr="00DE1BD4">
        <w:t xml:space="preserve"> </w:t>
      </w:r>
      <w:r w:rsidR="00460CA2" w:rsidRPr="00DE1BD4">
        <w:rPr>
          <w:rStyle w:val="normaltextrun"/>
          <w:color w:val="000000"/>
          <w:shd w:val="clear" w:color="auto" w:fill="FFFFFF"/>
        </w:rPr>
        <w:t>information sharing, planning, coordination and working relationships are established before an emergency</w:t>
      </w:r>
      <w:r w:rsidR="00425667" w:rsidRPr="00DE1BD4">
        <w:rPr>
          <w:rStyle w:val="normaltextrun"/>
          <w:color w:val="000000"/>
          <w:shd w:val="clear" w:color="auto" w:fill="FFFFFF"/>
        </w:rPr>
        <w:t>.</w:t>
      </w:r>
    </w:p>
    <w:p w14:paraId="567042C2" w14:textId="00B009BC" w:rsidR="00AE4B2E" w:rsidRPr="00DE1BD4" w:rsidRDefault="00AE4B2E" w:rsidP="00AE4B2E">
      <w:r w:rsidRPr="00DE1BD4">
        <w:t>C</w:t>
      </w:r>
      <w:r w:rsidR="00460CA2" w:rsidRPr="00DE1BD4">
        <w:t xml:space="preserve">luster </w:t>
      </w:r>
      <w:r w:rsidRPr="00DE1BD4">
        <w:t xml:space="preserve">members </w:t>
      </w:r>
      <w:r w:rsidR="00460CA2" w:rsidRPr="00DE1BD4">
        <w:t xml:space="preserve">may/should </w:t>
      </w:r>
      <w:r w:rsidRPr="00DE1BD4">
        <w:t>include representatives from:</w:t>
      </w:r>
    </w:p>
    <w:p w14:paraId="3A6D0340" w14:textId="047AE49E" w:rsidR="00012484" w:rsidRPr="00092C5C" w:rsidRDefault="00EC043E" w:rsidP="00731ECE">
      <w:pPr>
        <w:pStyle w:val="ListParagraph"/>
        <w:numPr>
          <w:ilvl w:val="0"/>
          <w:numId w:val="22"/>
        </w:numPr>
        <w:rPr>
          <w:rStyle w:val="normaltextrun"/>
          <w:rFonts w:ascii="Arial" w:eastAsia="Times New Roman" w:hAnsi="Arial" w:cs="Arial"/>
          <w:lang w:eastAsia="en-AU"/>
        </w:rPr>
      </w:pPr>
      <w:r>
        <w:rPr>
          <w:rStyle w:val="normaltextrun"/>
          <w:color w:val="000000"/>
        </w:rPr>
        <w:t>PURA</w:t>
      </w:r>
    </w:p>
    <w:p w14:paraId="2BBDDDF6" w14:textId="27C79619" w:rsidR="00AE4B2E" w:rsidRPr="00092C5C" w:rsidRDefault="00142B49" w:rsidP="00731ECE">
      <w:pPr>
        <w:pStyle w:val="ListParagraph"/>
        <w:numPr>
          <w:ilvl w:val="0"/>
          <w:numId w:val="22"/>
        </w:numPr>
        <w:rPr>
          <w:rStyle w:val="normaltextrun"/>
          <w:rFonts w:ascii="Arial" w:eastAsia="Times New Roman" w:hAnsi="Arial" w:cs="Arial"/>
          <w:lang w:eastAsia="en-AU"/>
        </w:rPr>
      </w:pPr>
      <w:r>
        <w:rPr>
          <w:rStyle w:val="normaltextrun"/>
          <w:color w:val="000000"/>
        </w:rPr>
        <w:t>NDMA</w:t>
      </w:r>
    </w:p>
    <w:p w14:paraId="78EBEAD7" w14:textId="162AC3DA" w:rsidR="00092C5C" w:rsidRPr="00092C5C" w:rsidRDefault="00092C5C" w:rsidP="00731ECE">
      <w:pPr>
        <w:pStyle w:val="ListParagraph"/>
        <w:numPr>
          <w:ilvl w:val="0"/>
          <w:numId w:val="22"/>
        </w:numPr>
        <w:rPr>
          <w:rFonts w:ascii="Arial" w:eastAsia="Times New Roman" w:hAnsi="Arial" w:cs="Arial"/>
          <w:lang w:eastAsia="en-AU"/>
        </w:rPr>
      </w:pPr>
      <w:r w:rsidRPr="00092C5C">
        <w:rPr>
          <w:rStyle w:val="normaltextrun"/>
          <w:color w:val="000000"/>
        </w:rPr>
        <w:t>M</w:t>
      </w:r>
      <w:r w:rsidR="00963CF3">
        <w:rPr>
          <w:rStyle w:val="normaltextrun"/>
          <w:color w:val="000000"/>
        </w:rPr>
        <w:t>oCDE</w:t>
      </w:r>
    </w:p>
    <w:p w14:paraId="2DF9017B" w14:textId="62A9B705" w:rsidR="00AE4B2E" w:rsidRPr="00092C5C" w:rsidRDefault="00142B49" w:rsidP="00731ECE">
      <w:pPr>
        <w:pStyle w:val="ListParagraph"/>
        <w:numPr>
          <w:ilvl w:val="0"/>
          <w:numId w:val="22"/>
        </w:numPr>
        <w:rPr>
          <w:rFonts w:ascii="Arial" w:hAnsi="Arial" w:cs="Arial"/>
        </w:rPr>
      </w:pPr>
      <w:proofErr w:type="spellStart"/>
      <w:r>
        <w:rPr>
          <w:rStyle w:val="normaltextrun"/>
          <w:color w:val="000000"/>
        </w:rPr>
        <w:t>MoFWR</w:t>
      </w:r>
      <w:proofErr w:type="spellEnd"/>
    </w:p>
    <w:p w14:paraId="46B4DFA1" w14:textId="49A64339" w:rsidR="00AE4B2E" w:rsidRPr="00092C5C" w:rsidRDefault="00142B49" w:rsidP="00731ECE">
      <w:pPr>
        <w:pStyle w:val="ListParagraph"/>
        <w:numPr>
          <w:ilvl w:val="0"/>
          <w:numId w:val="22"/>
        </w:numPr>
        <w:rPr>
          <w:rFonts w:ascii="Arial" w:hAnsi="Arial" w:cs="Arial"/>
        </w:rPr>
      </w:pPr>
      <w:r>
        <w:rPr>
          <w:rStyle w:val="normaltextrun"/>
        </w:rPr>
        <w:t>First Responders</w:t>
      </w:r>
    </w:p>
    <w:p w14:paraId="7D38E00B" w14:textId="298232B7" w:rsidR="00AE4B2E" w:rsidRPr="00092C5C" w:rsidRDefault="001E7402" w:rsidP="00731ECE">
      <w:pPr>
        <w:pStyle w:val="ListParagraph"/>
        <w:numPr>
          <w:ilvl w:val="0"/>
          <w:numId w:val="22"/>
        </w:numPr>
        <w:rPr>
          <w:rStyle w:val="eop"/>
          <w:rFonts w:ascii="Arial" w:hAnsi="Arial" w:cs="Arial"/>
        </w:rPr>
      </w:pPr>
      <w:r w:rsidRPr="00092C5C">
        <w:rPr>
          <w:rStyle w:val="normaltextrun"/>
          <w:color w:val="000000"/>
        </w:rPr>
        <w:t>Telecommunications operators</w:t>
      </w:r>
      <w:r w:rsidR="00AE4B2E" w:rsidRPr="00092C5C">
        <w:rPr>
          <w:rStyle w:val="eop"/>
        </w:rPr>
        <w:t>​</w:t>
      </w:r>
    </w:p>
    <w:p w14:paraId="6BE1B440" w14:textId="77777777" w:rsidR="00142B49" w:rsidRPr="00142B49" w:rsidRDefault="00B276A5" w:rsidP="00731ECE">
      <w:pPr>
        <w:pStyle w:val="ListParagraph"/>
        <w:numPr>
          <w:ilvl w:val="0"/>
          <w:numId w:val="22"/>
        </w:numPr>
        <w:rPr>
          <w:rStyle w:val="eop"/>
          <w:rFonts w:ascii="Arial" w:hAnsi="Arial" w:cs="Arial"/>
        </w:rPr>
      </w:pPr>
      <w:r w:rsidRPr="00092C5C">
        <w:rPr>
          <w:rStyle w:val="eop"/>
        </w:rPr>
        <w:t xml:space="preserve">Internet </w:t>
      </w:r>
      <w:r w:rsidR="00554870" w:rsidRPr="00092C5C">
        <w:rPr>
          <w:rStyle w:val="eop"/>
        </w:rPr>
        <w:t>Service</w:t>
      </w:r>
      <w:r w:rsidRPr="00092C5C">
        <w:rPr>
          <w:rStyle w:val="eop"/>
        </w:rPr>
        <w:t xml:space="preserve"> providers</w:t>
      </w:r>
    </w:p>
    <w:p w14:paraId="33F531DF" w14:textId="72258244" w:rsidR="00B276A5" w:rsidRPr="00092C5C" w:rsidRDefault="00142B49" w:rsidP="00731ECE">
      <w:pPr>
        <w:pStyle w:val="ListParagraph"/>
        <w:numPr>
          <w:ilvl w:val="0"/>
          <w:numId w:val="22"/>
        </w:numPr>
        <w:rPr>
          <w:rStyle w:val="eop"/>
          <w:rFonts w:ascii="Arial" w:hAnsi="Arial" w:cs="Arial"/>
        </w:rPr>
      </w:pPr>
      <w:r>
        <w:rPr>
          <w:rStyle w:val="eop"/>
        </w:rPr>
        <w:t>Broadcasters;</w:t>
      </w:r>
      <w:r w:rsidR="00B276A5" w:rsidRPr="00092C5C">
        <w:rPr>
          <w:rStyle w:val="eop"/>
        </w:rPr>
        <w:t xml:space="preserve"> and</w:t>
      </w:r>
    </w:p>
    <w:p w14:paraId="289386C8" w14:textId="4D00A73F" w:rsidR="00B276A5" w:rsidRPr="00092C5C" w:rsidRDefault="00B276A5" w:rsidP="00731ECE">
      <w:pPr>
        <w:pStyle w:val="ListParagraph"/>
        <w:numPr>
          <w:ilvl w:val="0"/>
          <w:numId w:val="22"/>
        </w:numPr>
        <w:rPr>
          <w:rFonts w:ascii="Arial" w:hAnsi="Arial" w:cs="Arial"/>
        </w:rPr>
      </w:pPr>
      <w:r w:rsidRPr="00092C5C">
        <w:rPr>
          <w:rStyle w:val="eop"/>
        </w:rPr>
        <w:t xml:space="preserve">Others as </w:t>
      </w:r>
      <w:r w:rsidR="00554870" w:rsidRPr="00092C5C">
        <w:rPr>
          <w:rStyle w:val="eop"/>
        </w:rPr>
        <w:t>identified</w:t>
      </w:r>
    </w:p>
    <w:p w14:paraId="4FF0F45D" w14:textId="1DAF0857" w:rsidR="00464C2F" w:rsidRPr="00DE1BD4" w:rsidRDefault="009231E2" w:rsidP="002520EB">
      <w:pPr>
        <w:pStyle w:val="Heading2"/>
      </w:pPr>
      <w:bookmarkStart w:id="133" w:name="_Ref110169074"/>
      <w:bookmarkStart w:id="134" w:name="_Toc181885789"/>
      <w:r w:rsidRPr="00DE1BD4">
        <w:t>World Food Program</w:t>
      </w:r>
      <w:r w:rsidR="00C54BC1" w:rsidRPr="00DE1BD4">
        <w:t xml:space="preserve"> (WFP)</w:t>
      </w:r>
      <w:r w:rsidRPr="00DE1BD4">
        <w:t xml:space="preserve"> – Emergency Telecommunications Cluster</w:t>
      </w:r>
      <w:r w:rsidR="00C54BC1" w:rsidRPr="00DE1BD4">
        <w:t xml:space="preserve"> (ETC)</w:t>
      </w:r>
      <w:bookmarkEnd w:id="133"/>
      <w:bookmarkEnd w:id="134"/>
    </w:p>
    <w:p w14:paraId="076DF7DE" w14:textId="7D4CCF5E" w:rsidR="00BF728E" w:rsidRPr="00DE1BD4" w:rsidRDefault="00F567FD" w:rsidP="00F567FD">
      <w:pPr>
        <w:spacing w:line="240" w:lineRule="auto"/>
        <w:rPr>
          <w:rFonts w:asciiTheme="minorHAnsi" w:hAnsiTheme="minorHAnsi" w:cstheme="minorHAnsi"/>
        </w:rPr>
      </w:pPr>
      <w:r w:rsidRPr="00DE1BD4">
        <w:rPr>
          <w:rFonts w:asciiTheme="minorHAnsi" w:hAnsiTheme="minorHAnsi" w:cstheme="minorHAnsi"/>
        </w:rPr>
        <w:t xml:space="preserve">The UN World Food Programme (WFP) is the world’s largest humanitarian organization.  WFP is the lead agency in the </w:t>
      </w:r>
      <w:r w:rsidR="00A4149A" w:rsidRPr="00DE1BD4">
        <w:rPr>
          <w:rFonts w:asciiTheme="minorHAnsi" w:hAnsiTheme="minorHAnsi" w:cstheme="minorHAnsi"/>
        </w:rPr>
        <w:t>I</w:t>
      </w:r>
      <w:r w:rsidRPr="00DE1BD4">
        <w:rPr>
          <w:rFonts w:asciiTheme="minorHAnsi" w:hAnsiTheme="minorHAnsi" w:cstheme="minorHAnsi"/>
        </w:rPr>
        <w:t>nternational </w:t>
      </w:r>
      <w:hyperlink r:id="rId24" w:history="1">
        <w:r w:rsidRPr="00DE1BD4">
          <w:rPr>
            <w:rFonts w:asciiTheme="minorHAnsi" w:hAnsiTheme="minorHAnsi" w:cstheme="minorHAnsi"/>
          </w:rPr>
          <w:t>Logistics Cluster, </w:t>
        </w:r>
      </w:hyperlink>
      <w:r w:rsidRPr="00DE1BD4">
        <w:rPr>
          <w:rFonts w:asciiTheme="minorHAnsi" w:hAnsiTheme="minorHAnsi" w:cstheme="minorHAnsi"/>
        </w:rPr>
        <w:t xml:space="preserve"> and co-leads with FAO the </w:t>
      </w:r>
      <w:hyperlink r:id="rId25" w:history="1">
        <w:r w:rsidRPr="00DE1BD4">
          <w:rPr>
            <w:rFonts w:asciiTheme="minorHAnsi" w:hAnsiTheme="minorHAnsi" w:cstheme="minorHAnsi"/>
          </w:rPr>
          <w:t>Food Security Cluster</w:t>
        </w:r>
      </w:hyperlink>
      <w:r w:rsidRPr="0045782B">
        <w:rPr>
          <w:rStyle w:val="FootnoteReference"/>
        </w:rPr>
        <w:footnoteReference w:id="43"/>
      </w:r>
      <w:r w:rsidR="007E4339">
        <w:rPr>
          <w:rFonts w:asciiTheme="minorHAnsi" w:hAnsiTheme="minorHAnsi" w:cstheme="minorHAnsi"/>
        </w:rPr>
        <w:t>. WFP a</w:t>
      </w:r>
      <w:r w:rsidR="0080377D" w:rsidRPr="00DE1BD4">
        <w:rPr>
          <w:rFonts w:asciiTheme="minorHAnsi" w:hAnsiTheme="minorHAnsi" w:cstheme="minorHAnsi"/>
        </w:rPr>
        <w:t xml:space="preserve">lso leads the </w:t>
      </w:r>
      <w:r w:rsidR="00AE4B2E" w:rsidRPr="00DE1BD4">
        <w:rPr>
          <w:rFonts w:asciiTheme="minorHAnsi" w:hAnsiTheme="minorHAnsi" w:cstheme="minorHAnsi"/>
        </w:rPr>
        <w:t>I</w:t>
      </w:r>
      <w:r w:rsidR="0080377D" w:rsidRPr="00DE1BD4">
        <w:rPr>
          <w:rFonts w:asciiTheme="minorHAnsi" w:hAnsiTheme="minorHAnsi" w:cstheme="minorHAnsi"/>
        </w:rPr>
        <w:t>nternational </w:t>
      </w:r>
      <w:hyperlink r:id="rId26" w:history="1">
        <w:r w:rsidR="0080377D" w:rsidRPr="00DE1BD4">
          <w:rPr>
            <w:rFonts w:asciiTheme="minorHAnsi" w:hAnsiTheme="minorHAnsi" w:cstheme="minorHAnsi"/>
          </w:rPr>
          <w:t>Emergency Telecommunications Cluster</w:t>
        </w:r>
      </w:hyperlink>
      <w:r w:rsidR="0080377D" w:rsidRPr="00DE1BD4">
        <w:rPr>
          <w:rFonts w:asciiTheme="minorHAnsi" w:hAnsiTheme="minorHAnsi" w:cstheme="minorHAnsi"/>
        </w:rPr>
        <w:t xml:space="preserve"> (ETC)</w:t>
      </w:r>
      <w:r w:rsidR="00141332" w:rsidRPr="0045782B">
        <w:rPr>
          <w:rStyle w:val="FootnoteReference"/>
        </w:rPr>
        <w:footnoteReference w:id="44"/>
      </w:r>
      <w:r w:rsidR="0080377D" w:rsidRPr="00DE1BD4">
        <w:rPr>
          <w:rFonts w:asciiTheme="minorHAnsi" w:hAnsiTheme="minorHAnsi" w:cstheme="minorHAnsi"/>
        </w:rPr>
        <w:t xml:space="preserve">. </w:t>
      </w:r>
    </w:p>
    <w:p w14:paraId="18B2C9E8" w14:textId="0B727238" w:rsidR="003A3EF4" w:rsidRPr="00DE1BD4" w:rsidRDefault="003A3EF4" w:rsidP="00F567FD">
      <w:pPr>
        <w:spacing w:line="240" w:lineRule="auto"/>
        <w:rPr>
          <w:rFonts w:asciiTheme="minorHAnsi" w:hAnsiTheme="minorHAnsi" w:cstheme="minorHAnsi"/>
        </w:rPr>
      </w:pPr>
      <w:r w:rsidRPr="00DE1BD4">
        <w:rPr>
          <w:rFonts w:asciiTheme="minorHAnsi" w:hAnsiTheme="minorHAnsi" w:cstheme="minorHAnsi"/>
        </w:rPr>
        <w:t xml:space="preserve">In a similar manner to the ITU, the ETC provides two basic services to countries. The first is </w:t>
      </w:r>
      <w:r w:rsidR="00431447" w:rsidRPr="00DE1BD4">
        <w:rPr>
          <w:rFonts w:asciiTheme="minorHAnsi" w:hAnsiTheme="minorHAnsi" w:cstheme="minorHAnsi"/>
        </w:rPr>
        <w:t>preparedness</w:t>
      </w:r>
      <w:r w:rsidRPr="00DE1BD4">
        <w:rPr>
          <w:rFonts w:asciiTheme="minorHAnsi" w:hAnsiTheme="minorHAnsi" w:cstheme="minorHAnsi"/>
        </w:rPr>
        <w:t xml:space="preserve">, in which the ETC will review the </w:t>
      </w:r>
      <w:r w:rsidR="00431447" w:rsidRPr="00DE1BD4">
        <w:rPr>
          <w:rFonts w:asciiTheme="minorHAnsi" w:hAnsiTheme="minorHAnsi" w:cstheme="minorHAnsi"/>
        </w:rPr>
        <w:t>preparedness</w:t>
      </w:r>
      <w:r w:rsidRPr="00DE1BD4">
        <w:rPr>
          <w:rFonts w:asciiTheme="minorHAnsi" w:hAnsiTheme="minorHAnsi" w:cstheme="minorHAnsi"/>
        </w:rPr>
        <w:t xml:space="preserve"> of a country to provide support in the case of a disaster. The second is </w:t>
      </w:r>
      <w:r w:rsidR="00431447" w:rsidRPr="00DE1BD4">
        <w:rPr>
          <w:rFonts w:asciiTheme="minorHAnsi" w:hAnsiTheme="minorHAnsi" w:cstheme="minorHAnsi"/>
        </w:rPr>
        <w:t xml:space="preserve">active participation whereby the ETC will provide equipment and expertise to </w:t>
      </w:r>
      <w:r w:rsidR="00837C52" w:rsidRPr="00DE1BD4">
        <w:rPr>
          <w:rFonts w:asciiTheme="minorHAnsi" w:hAnsiTheme="minorHAnsi" w:cstheme="minorHAnsi"/>
        </w:rPr>
        <w:t>a country to ensure that telecommunications services are operational as soon as possible.</w:t>
      </w:r>
    </w:p>
    <w:p w14:paraId="1EF707ED" w14:textId="70B0AFC0" w:rsidR="00837C52" w:rsidRPr="00DE1BD4" w:rsidRDefault="00837C52" w:rsidP="00F567FD">
      <w:pPr>
        <w:spacing w:line="240" w:lineRule="auto"/>
        <w:rPr>
          <w:rFonts w:asciiTheme="minorHAnsi" w:hAnsiTheme="minorHAnsi" w:cstheme="minorHAnsi"/>
        </w:rPr>
      </w:pPr>
      <w:r w:rsidRPr="00DE1BD4">
        <w:rPr>
          <w:rFonts w:asciiTheme="minorHAnsi" w:hAnsiTheme="minorHAnsi" w:cstheme="minorHAnsi"/>
        </w:rPr>
        <w:t>At</w:t>
      </w:r>
      <w:r w:rsidR="000E7D53" w:rsidRPr="00DE1BD4">
        <w:rPr>
          <w:rFonts w:asciiTheme="minorHAnsi" w:hAnsiTheme="minorHAnsi" w:cstheme="minorHAnsi"/>
        </w:rPr>
        <w:t xml:space="preserve"> </w:t>
      </w:r>
      <w:r w:rsidRPr="00DE1BD4">
        <w:rPr>
          <w:rFonts w:asciiTheme="minorHAnsi" w:hAnsiTheme="minorHAnsi" w:cstheme="minorHAnsi"/>
        </w:rPr>
        <w:t xml:space="preserve">present the ETC has no </w:t>
      </w:r>
      <w:r w:rsidR="00EB4A88">
        <w:rPr>
          <w:rFonts w:asciiTheme="minorHAnsi" w:hAnsiTheme="minorHAnsi" w:cstheme="minorHAnsi"/>
        </w:rPr>
        <w:t xml:space="preserve">active </w:t>
      </w:r>
      <w:r w:rsidRPr="00DE1BD4">
        <w:rPr>
          <w:rFonts w:asciiTheme="minorHAnsi" w:hAnsiTheme="minorHAnsi" w:cstheme="minorHAnsi"/>
        </w:rPr>
        <w:t xml:space="preserve">operations in </w:t>
      </w:r>
      <w:r w:rsidR="00BD66D4" w:rsidRPr="00DE1BD4">
        <w:rPr>
          <w:rFonts w:asciiTheme="minorHAnsi" w:hAnsiTheme="minorHAnsi" w:cstheme="minorHAnsi"/>
        </w:rPr>
        <w:t>T</w:t>
      </w:r>
      <w:r w:rsidR="00EC043E">
        <w:rPr>
          <w:rFonts w:asciiTheme="minorHAnsi" w:hAnsiTheme="minorHAnsi" w:cstheme="minorHAnsi"/>
        </w:rPr>
        <w:t>he Gambia</w:t>
      </w:r>
      <w:r w:rsidR="000E7D53" w:rsidRPr="00DE1BD4">
        <w:rPr>
          <w:rFonts w:asciiTheme="minorHAnsi" w:hAnsiTheme="minorHAnsi" w:cstheme="minorHAnsi"/>
        </w:rPr>
        <w:t>.</w:t>
      </w:r>
    </w:p>
    <w:p w14:paraId="1897D215" w14:textId="2EF2D907" w:rsidR="000E7D53" w:rsidRPr="00DE1BD4" w:rsidRDefault="000E7D53" w:rsidP="00F567FD">
      <w:pPr>
        <w:spacing w:line="240" w:lineRule="auto"/>
        <w:rPr>
          <w:rFonts w:asciiTheme="minorHAnsi" w:hAnsiTheme="minorHAnsi" w:cstheme="minorHAnsi"/>
          <w:b/>
          <w:bCs/>
          <w:i/>
          <w:iCs/>
        </w:rPr>
      </w:pPr>
      <w:bookmarkStart w:id="135" w:name="_Hlk168583305"/>
      <w:r w:rsidRPr="00DE1BD4">
        <w:rPr>
          <w:rFonts w:asciiTheme="minorHAnsi" w:hAnsiTheme="minorHAnsi" w:cstheme="minorHAnsi"/>
          <w:b/>
          <w:bCs/>
          <w:i/>
          <w:iCs/>
        </w:rPr>
        <w:t xml:space="preserve">Implementation Task </w:t>
      </w:r>
      <w:r w:rsidR="00255312">
        <w:rPr>
          <w:rFonts w:asciiTheme="minorHAnsi" w:hAnsiTheme="minorHAnsi" w:cstheme="minorHAnsi"/>
          <w:b/>
          <w:bCs/>
          <w:i/>
          <w:iCs/>
        </w:rPr>
        <w:t>3</w:t>
      </w:r>
    </w:p>
    <w:p w14:paraId="7143E6DA" w14:textId="0669D5EE" w:rsidR="00F5610F" w:rsidRPr="00DE1BD4" w:rsidRDefault="0038199B" w:rsidP="000E7D53">
      <w:pPr>
        <w:rPr>
          <w:bCs/>
          <w:i/>
          <w:iCs/>
        </w:rPr>
      </w:pPr>
      <w:bookmarkStart w:id="136" w:name="_Hlk174720336"/>
      <w:r w:rsidRPr="00DE1BD4">
        <w:rPr>
          <w:bCs/>
          <w:i/>
          <w:iCs/>
        </w:rPr>
        <w:t xml:space="preserve">Many </w:t>
      </w:r>
      <w:r w:rsidR="003C45D0" w:rsidRPr="00DE1BD4">
        <w:rPr>
          <w:bCs/>
          <w:i/>
          <w:iCs/>
        </w:rPr>
        <w:t>provisions</w:t>
      </w:r>
      <w:r w:rsidRPr="00DE1BD4">
        <w:rPr>
          <w:bCs/>
          <w:i/>
          <w:iCs/>
        </w:rPr>
        <w:t xml:space="preserve"> are in place within </w:t>
      </w:r>
      <w:r w:rsidR="00FE2611">
        <w:rPr>
          <w:bCs/>
          <w:i/>
          <w:iCs/>
        </w:rPr>
        <w:t>The Gambia</w:t>
      </w:r>
      <w:r w:rsidRPr="00DE1BD4">
        <w:rPr>
          <w:bCs/>
          <w:i/>
          <w:iCs/>
        </w:rPr>
        <w:t xml:space="preserve"> for DRM, either in existing plans or in associated legislation and policy.  </w:t>
      </w:r>
      <w:r w:rsidR="003C45D0" w:rsidRPr="00DE1BD4">
        <w:rPr>
          <w:bCs/>
          <w:i/>
          <w:iCs/>
        </w:rPr>
        <w:t>However,</w:t>
      </w:r>
      <w:r w:rsidRPr="00DE1BD4">
        <w:rPr>
          <w:bCs/>
          <w:i/>
          <w:iCs/>
        </w:rPr>
        <w:t xml:space="preserve"> in many cases </w:t>
      </w:r>
      <w:r w:rsidR="00E4245E" w:rsidRPr="00DE1BD4">
        <w:rPr>
          <w:bCs/>
          <w:i/>
          <w:iCs/>
        </w:rPr>
        <w:t xml:space="preserve">the plans are out of date and consequently do </w:t>
      </w:r>
      <w:r w:rsidR="00C2186C" w:rsidRPr="00DE1BD4">
        <w:rPr>
          <w:bCs/>
          <w:i/>
          <w:iCs/>
        </w:rPr>
        <w:t xml:space="preserve">not align with what would be considered best practice. </w:t>
      </w:r>
      <w:r w:rsidR="003C45D0" w:rsidRPr="00DE1BD4">
        <w:rPr>
          <w:bCs/>
          <w:i/>
          <w:iCs/>
        </w:rPr>
        <w:t>Similarly,</w:t>
      </w:r>
      <w:r w:rsidR="00C2186C" w:rsidRPr="00DE1BD4">
        <w:rPr>
          <w:bCs/>
          <w:i/>
          <w:iCs/>
        </w:rPr>
        <w:t xml:space="preserve"> provisions in legislation should be clarified to clearly </w:t>
      </w:r>
      <w:r w:rsidR="00F5610F" w:rsidRPr="00DE1BD4">
        <w:rPr>
          <w:bCs/>
          <w:i/>
          <w:iCs/>
        </w:rPr>
        <w:t>show those provisions that align with DRM</w:t>
      </w:r>
      <w:r w:rsidR="00FB52A2" w:rsidRPr="00DE1BD4">
        <w:rPr>
          <w:bCs/>
          <w:i/>
          <w:iCs/>
        </w:rPr>
        <w:t xml:space="preserve"> activities</w:t>
      </w:r>
      <w:r w:rsidR="00F5610F" w:rsidRPr="00DE1BD4">
        <w:rPr>
          <w:bCs/>
          <w:i/>
          <w:iCs/>
        </w:rPr>
        <w:t>.</w:t>
      </w:r>
    </w:p>
    <w:p w14:paraId="1B3254F5" w14:textId="407D81E0" w:rsidR="00C34274" w:rsidRDefault="003F478A" w:rsidP="00AA4FD5">
      <w:pPr>
        <w:pStyle w:val="ListParagraph"/>
        <w:numPr>
          <w:ilvl w:val="0"/>
          <w:numId w:val="33"/>
        </w:numPr>
        <w:rPr>
          <w:i/>
          <w:iCs/>
        </w:rPr>
      </w:pPr>
      <w:bookmarkStart w:id="137" w:name="_Hlk181880820"/>
      <w:r>
        <w:rPr>
          <w:i/>
          <w:iCs/>
        </w:rPr>
        <w:t>PURA</w:t>
      </w:r>
      <w:r w:rsidR="00C34274" w:rsidRPr="00776D94">
        <w:rPr>
          <w:i/>
          <w:iCs/>
        </w:rPr>
        <w:t xml:space="preserve"> should undertake a review of specific regulations that have a DRM aspect and consider updating these regulations to reflect best practice and explicit application to DRM.</w:t>
      </w:r>
      <w:r w:rsidR="00A11EB7">
        <w:rPr>
          <w:i/>
          <w:iCs/>
        </w:rPr>
        <w:t xml:space="preserve"> This includes</w:t>
      </w:r>
    </w:p>
    <w:p w14:paraId="561093E5" w14:textId="45898DA1" w:rsidR="00A11EB7" w:rsidRDefault="00A11EB7" w:rsidP="00963CF3">
      <w:pPr>
        <w:pStyle w:val="ListParagraph"/>
        <w:numPr>
          <w:ilvl w:val="1"/>
          <w:numId w:val="33"/>
        </w:numPr>
        <w:rPr>
          <w:bCs/>
          <w:i/>
          <w:iCs/>
        </w:rPr>
      </w:pPr>
      <w:r>
        <w:rPr>
          <w:bCs/>
          <w:i/>
          <w:iCs/>
        </w:rPr>
        <w:t xml:space="preserve">A review of the licensing regime should be undertaken by </w:t>
      </w:r>
      <w:r w:rsidR="003F478A">
        <w:rPr>
          <w:bCs/>
          <w:i/>
          <w:iCs/>
        </w:rPr>
        <w:t>PURA</w:t>
      </w:r>
      <w:r>
        <w:rPr>
          <w:bCs/>
          <w:i/>
          <w:iCs/>
        </w:rPr>
        <w:t xml:space="preserve"> to ensure that temporary licenses can be expedited in a disaster situation</w:t>
      </w:r>
    </w:p>
    <w:p w14:paraId="5506969A" w14:textId="77777777" w:rsidR="00A11EB7" w:rsidRPr="00776D94" w:rsidRDefault="00A11EB7" w:rsidP="00963CF3">
      <w:pPr>
        <w:pStyle w:val="ListParagraph"/>
        <w:numPr>
          <w:ilvl w:val="1"/>
          <w:numId w:val="33"/>
        </w:numPr>
        <w:rPr>
          <w:bCs/>
          <w:i/>
          <w:iCs/>
        </w:rPr>
      </w:pPr>
      <w:r>
        <w:rPr>
          <w:bCs/>
          <w:i/>
          <w:iCs/>
        </w:rPr>
        <w:t>A review of the any Type Approval Regulations should be considered to ensure that the importation of temporary equipment can be undertaken in a disaster situation.</w:t>
      </w:r>
    </w:p>
    <w:bookmarkEnd w:id="137"/>
    <w:p w14:paraId="1CAF9ABA" w14:textId="62BD4F86" w:rsidR="00AF25D0" w:rsidRPr="00776D94" w:rsidRDefault="00FB52A2" w:rsidP="00963CF3">
      <w:pPr>
        <w:pStyle w:val="ListParagraph"/>
        <w:numPr>
          <w:ilvl w:val="0"/>
          <w:numId w:val="33"/>
        </w:numPr>
        <w:rPr>
          <w:bCs/>
          <w:i/>
          <w:iCs/>
        </w:rPr>
      </w:pPr>
      <w:r w:rsidRPr="00776D94">
        <w:rPr>
          <w:bCs/>
          <w:i/>
          <w:iCs/>
        </w:rPr>
        <w:t xml:space="preserve">A </w:t>
      </w:r>
      <w:r w:rsidR="005336A4" w:rsidRPr="00776D94">
        <w:rPr>
          <w:bCs/>
          <w:i/>
          <w:iCs/>
        </w:rPr>
        <w:t xml:space="preserve">National Emergency </w:t>
      </w:r>
      <w:r w:rsidR="00C23111" w:rsidRPr="00776D94">
        <w:rPr>
          <w:bCs/>
          <w:i/>
          <w:iCs/>
        </w:rPr>
        <w:t>Telecommunications</w:t>
      </w:r>
      <w:r w:rsidR="005336A4" w:rsidRPr="00776D94">
        <w:rPr>
          <w:bCs/>
          <w:i/>
          <w:iCs/>
        </w:rPr>
        <w:t xml:space="preserve"> group/cluster should be established that provides input into the NETP on an ongoing basis </w:t>
      </w:r>
      <w:r w:rsidR="00FA06D9" w:rsidRPr="00776D94">
        <w:rPr>
          <w:bCs/>
          <w:i/>
          <w:iCs/>
        </w:rPr>
        <w:t>and</w:t>
      </w:r>
      <w:r w:rsidR="005336A4" w:rsidRPr="00776D94">
        <w:rPr>
          <w:bCs/>
          <w:i/>
          <w:iCs/>
        </w:rPr>
        <w:t xml:space="preserve"> take part in th</w:t>
      </w:r>
      <w:r w:rsidR="00AF25D0" w:rsidRPr="00776D94">
        <w:rPr>
          <w:bCs/>
          <w:i/>
          <w:iCs/>
        </w:rPr>
        <w:t>e implementation tasks identified in the NETP</w:t>
      </w:r>
    </w:p>
    <w:p w14:paraId="7CAF3F77" w14:textId="2C5F426F" w:rsidR="000E7D53" w:rsidRPr="00776D94" w:rsidRDefault="00AF25D0" w:rsidP="00963CF3">
      <w:pPr>
        <w:pStyle w:val="ListParagraph"/>
        <w:numPr>
          <w:ilvl w:val="0"/>
          <w:numId w:val="33"/>
        </w:numPr>
        <w:rPr>
          <w:bCs/>
          <w:i/>
          <w:iCs/>
        </w:rPr>
      </w:pPr>
      <w:r w:rsidRPr="00776D94">
        <w:rPr>
          <w:bCs/>
          <w:i/>
          <w:iCs/>
        </w:rPr>
        <w:t xml:space="preserve">A </w:t>
      </w:r>
      <w:r w:rsidR="000E7D53" w:rsidRPr="00776D94">
        <w:rPr>
          <w:bCs/>
          <w:i/>
          <w:iCs/>
        </w:rPr>
        <w:t>Terms of Reference (</w:t>
      </w:r>
      <w:proofErr w:type="spellStart"/>
      <w:r w:rsidR="000E7D53" w:rsidRPr="00776D94">
        <w:rPr>
          <w:bCs/>
          <w:i/>
          <w:iCs/>
        </w:rPr>
        <w:t>ToR</w:t>
      </w:r>
      <w:proofErr w:type="spellEnd"/>
      <w:r w:rsidR="000E7D53" w:rsidRPr="00776D94">
        <w:rPr>
          <w:bCs/>
          <w:i/>
          <w:iCs/>
        </w:rPr>
        <w:t xml:space="preserve">) </w:t>
      </w:r>
      <w:r w:rsidRPr="00776D94">
        <w:rPr>
          <w:bCs/>
          <w:i/>
          <w:iCs/>
        </w:rPr>
        <w:t>for this cluster including appropriate information on members should be developed a</w:t>
      </w:r>
      <w:r w:rsidR="003C45D0" w:rsidRPr="00776D94">
        <w:rPr>
          <w:bCs/>
          <w:i/>
          <w:iCs/>
        </w:rPr>
        <w:t xml:space="preserve">s an </w:t>
      </w:r>
      <w:r w:rsidR="00C23111" w:rsidRPr="00776D94">
        <w:rPr>
          <w:bCs/>
          <w:i/>
          <w:iCs/>
        </w:rPr>
        <w:t>addendum</w:t>
      </w:r>
      <w:r w:rsidR="003C45D0" w:rsidRPr="00776D94">
        <w:rPr>
          <w:bCs/>
          <w:i/>
          <w:iCs/>
        </w:rPr>
        <w:t xml:space="preserve"> to this NETP</w:t>
      </w:r>
    </w:p>
    <w:bookmarkEnd w:id="135"/>
    <w:bookmarkEnd w:id="136"/>
    <w:p w14:paraId="5A6559DF" w14:textId="1A4AAEBC" w:rsidR="00AA4FD5" w:rsidRPr="00DE1BD4" w:rsidRDefault="00AA4FD5" w:rsidP="00AA4FD5">
      <w:pPr>
        <w:pStyle w:val="ListParagraph"/>
        <w:numPr>
          <w:ilvl w:val="0"/>
          <w:numId w:val="33"/>
        </w:numPr>
        <w:rPr>
          <w:bCs/>
          <w:i/>
          <w:iCs/>
        </w:rPr>
      </w:pPr>
      <w:r w:rsidRPr="00DE1BD4">
        <w:rPr>
          <w:bCs/>
          <w:i/>
          <w:iCs/>
        </w:rPr>
        <w:t>The N</w:t>
      </w:r>
      <w:r>
        <w:rPr>
          <w:bCs/>
          <w:i/>
          <w:iCs/>
        </w:rPr>
        <w:t>ational Disaster Management Policy</w:t>
      </w:r>
      <w:r w:rsidRPr="00DE1BD4">
        <w:rPr>
          <w:bCs/>
          <w:i/>
          <w:iCs/>
        </w:rPr>
        <w:t xml:space="preserve"> should be reviewed and updated, particularly regarding the Sectors and the functions associated with the </w:t>
      </w:r>
      <w:r w:rsidR="006D4154">
        <w:rPr>
          <w:bCs/>
          <w:i/>
          <w:iCs/>
        </w:rPr>
        <w:t>cluster/</w:t>
      </w:r>
      <w:r w:rsidRPr="00DE1BD4">
        <w:rPr>
          <w:bCs/>
          <w:i/>
          <w:iCs/>
        </w:rPr>
        <w:t>sector</w:t>
      </w:r>
      <w:r w:rsidR="006D4154">
        <w:rPr>
          <w:bCs/>
          <w:i/>
          <w:iCs/>
        </w:rPr>
        <w:t xml:space="preserve"> arrangements</w:t>
      </w:r>
      <w:r w:rsidRPr="00DE1BD4">
        <w:rPr>
          <w:bCs/>
          <w:i/>
          <w:iCs/>
        </w:rPr>
        <w:t>. A clear communications sector should be implemented into this plan to show the importance and relationship of telecommunications to DRM</w:t>
      </w:r>
    </w:p>
    <w:p w14:paraId="7D35B6B2" w14:textId="77777777" w:rsidR="00AA4FD5" w:rsidRDefault="00AA4FD5" w:rsidP="00AA4FD5">
      <w:pPr>
        <w:pStyle w:val="ListParagraph"/>
        <w:numPr>
          <w:ilvl w:val="0"/>
          <w:numId w:val="33"/>
        </w:numPr>
        <w:rPr>
          <w:bCs/>
          <w:i/>
          <w:iCs/>
        </w:rPr>
      </w:pPr>
      <w:r w:rsidRPr="00DE1BD4">
        <w:rPr>
          <w:bCs/>
          <w:i/>
          <w:iCs/>
        </w:rPr>
        <w:t xml:space="preserve">Provisions identified should be clearly identified in the appropriate legislation and </w:t>
      </w:r>
      <w:r w:rsidRPr="00776D94">
        <w:rPr>
          <w:bCs/>
          <w:i/>
          <w:iCs/>
        </w:rPr>
        <w:t>regulations as to their relationship to DRM.</w:t>
      </w:r>
    </w:p>
    <w:p w14:paraId="18CA9B0E" w14:textId="77777777" w:rsidR="000E7D53" w:rsidRPr="00DE1BD4" w:rsidRDefault="000E7D53" w:rsidP="00F567FD">
      <w:pPr>
        <w:spacing w:line="240" w:lineRule="auto"/>
        <w:rPr>
          <w:rFonts w:asciiTheme="minorHAnsi" w:hAnsiTheme="minorHAnsi" w:cstheme="minorHAnsi"/>
        </w:rPr>
      </w:pPr>
    </w:p>
    <w:p w14:paraId="7F484A04" w14:textId="55C20483" w:rsidR="00BA605E" w:rsidRDefault="00BA605E">
      <w:pPr>
        <w:jc w:val="left"/>
        <w:rPr>
          <w:rFonts w:asciiTheme="minorHAnsi" w:hAnsiTheme="minorHAnsi" w:cstheme="minorHAnsi"/>
        </w:rPr>
      </w:pPr>
      <w:r>
        <w:rPr>
          <w:rFonts w:asciiTheme="minorHAnsi" w:hAnsiTheme="minorHAnsi" w:cstheme="minorHAnsi"/>
        </w:rPr>
        <w:br w:type="page"/>
      </w:r>
    </w:p>
    <w:p w14:paraId="3C129C7A" w14:textId="0D6C68A3" w:rsidR="00BA605E" w:rsidRPr="00DE1BD4" w:rsidRDefault="00CF48AD" w:rsidP="00BA605E">
      <w:pPr>
        <w:pStyle w:val="Heading1"/>
      </w:pPr>
      <w:bookmarkStart w:id="138" w:name="_Toc181885790"/>
      <w:r>
        <w:t xml:space="preserve">Specific Telecom/ICT </w:t>
      </w:r>
      <w:r w:rsidR="00BA605E" w:rsidRPr="00DE1BD4">
        <w:t>Regulatory Provisions</w:t>
      </w:r>
      <w:bookmarkEnd w:id="138"/>
    </w:p>
    <w:p w14:paraId="5DCFA83E" w14:textId="77777777" w:rsidR="00BA605E" w:rsidRPr="00DE1BD4" w:rsidRDefault="00BA605E" w:rsidP="00BA605E">
      <w:pPr>
        <w:rPr>
          <w:i/>
          <w:iCs/>
        </w:rPr>
      </w:pPr>
      <w:r w:rsidRPr="00DE1BD4">
        <w:rPr>
          <w:i/>
          <w:iCs/>
        </w:rPr>
        <w:t>Based on the mandate of a high-level DRM law or policy, the responsible agency for developing regulations for emergency telecom/ICTs should make provisions for different topics related to emergency telecom/ICTs for all phases of DRM (mitigation, preparedness, responses, and recovery).</w:t>
      </w:r>
    </w:p>
    <w:p w14:paraId="68DB2CA3" w14:textId="31E2524F" w:rsidR="00E23460" w:rsidRPr="00E23460" w:rsidRDefault="00E23460" w:rsidP="00E23460">
      <w:pPr>
        <w:jc w:val="center"/>
        <w:rPr>
          <w:b/>
          <w:bCs/>
        </w:rPr>
      </w:pPr>
      <w:r w:rsidRPr="00E23460">
        <w:rPr>
          <w:b/>
          <w:bCs/>
          <w:highlight w:val="yellow"/>
        </w:rPr>
        <w:t>Section to be updated upon review of the draft Communications Bill 2023</w:t>
      </w:r>
    </w:p>
    <w:p w14:paraId="02762B78" w14:textId="011DA1F7" w:rsidR="00BA605E" w:rsidRPr="00DE1BD4" w:rsidRDefault="00BA605E" w:rsidP="00BA605E">
      <w:pPr>
        <w:rPr>
          <w:color w:val="4472C4"/>
        </w:rPr>
      </w:pPr>
      <w:r w:rsidRPr="00DE1BD4">
        <w:t>A lack of detail on how the telecom/ICT sector should proceed with DRR and DRM may hamper the response from being as efficient and timely as it could be regarding international emergency telecommunications assistance, as well as regarding the actions of local service providers.</w:t>
      </w:r>
    </w:p>
    <w:p w14:paraId="4E0F9C10" w14:textId="5DA8986F" w:rsidR="00FA1990" w:rsidRDefault="00FA1990" w:rsidP="00FA1990">
      <w:r>
        <w:t>PURA</w:t>
      </w:r>
      <w:r w:rsidRPr="00DE1BD4">
        <w:t xml:space="preserve"> was established under </w:t>
      </w:r>
      <w:r>
        <w:t xml:space="preserve">The Gambia Public Utilities Regulatory Act 2001 (the PURA Act). </w:t>
      </w:r>
      <w:r w:rsidRPr="00DE1BD4">
        <w:t xml:space="preserve">Under the </w:t>
      </w:r>
      <w:r>
        <w:t xml:space="preserve">PURA </w:t>
      </w:r>
      <w:r w:rsidRPr="00DE1BD4">
        <w:t>Act</w:t>
      </w:r>
      <w:r>
        <w:t>, PURA</w:t>
      </w:r>
      <w:r w:rsidRPr="00DE1BD4">
        <w:t xml:space="preserve"> is mandated to regulate </w:t>
      </w:r>
      <w:r>
        <w:t xml:space="preserve">certain “regulated industries” such as communications, transport or energy that </w:t>
      </w:r>
      <w:r w:rsidR="00BB24E4">
        <w:t xml:space="preserve">require licenses and </w:t>
      </w:r>
      <w:r>
        <w:t>provide services directly or indirectly to the public</w:t>
      </w:r>
      <w:r w:rsidRPr="0045782B">
        <w:rPr>
          <w:rStyle w:val="FootnoteReference"/>
        </w:rPr>
        <w:footnoteReference w:id="45"/>
      </w:r>
      <w:r>
        <w:t>.</w:t>
      </w:r>
      <w:r w:rsidR="00BB24E4">
        <w:t xml:space="preserve"> </w:t>
      </w:r>
      <w:r w:rsidR="00441862">
        <w:t>Given this to</w:t>
      </w:r>
      <w:r w:rsidR="00771E96">
        <w:t xml:space="preserve"> establish, install</w:t>
      </w:r>
      <w:r w:rsidR="00441862">
        <w:t xml:space="preserve"> operate </w:t>
      </w:r>
      <w:r w:rsidR="00771E96">
        <w:t>or maintain</w:t>
      </w:r>
      <w:r w:rsidR="003E24FB">
        <w:t xml:space="preserve"> a communication system, or provide service or install a communications apparatus</w:t>
      </w:r>
      <w:r w:rsidR="006629BB">
        <w:t xml:space="preserve"> a license in accordance with the IC Act is required</w:t>
      </w:r>
      <w:r w:rsidR="00F3166A">
        <w:rPr>
          <w:rStyle w:val="FootnoteReference"/>
        </w:rPr>
        <w:footnoteReference w:id="46"/>
      </w:r>
      <w:r w:rsidR="006629BB">
        <w:t xml:space="preserve">. </w:t>
      </w:r>
    </w:p>
    <w:p w14:paraId="50572BD1" w14:textId="3A6651CB" w:rsidR="00E87F92" w:rsidRDefault="001E6A34" w:rsidP="00FA1990">
      <w:r w:rsidRPr="00DE1BD4">
        <w:t xml:space="preserve">One of the key functions of </w:t>
      </w:r>
      <w:r>
        <w:t>PURA</w:t>
      </w:r>
      <w:r w:rsidRPr="00DE1BD4">
        <w:t xml:space="preserve"> is to manage the utilisation of the radio spectrum</w:t>
      </w:r>
      <w:r>
        <w:t xml:space="preserve"> and under t</w:t>
      </w:r>
      <w:r w:rsidR="00A021C5">
        <w:t xml:space="preserve">he </w:t>
      </w:r>
      <w:r w:rsidR="004B405C">
        <w:t>Information and Communication Act, 2009</w:t>
      </w:r>
      <w:r w:rsidR="004B405C" w:rsidRPr="0045782B">
        <w:rPr>
          <w:rStyle w:val="FootnoteReference"/>
        </w:rPr>
        <w:footnoteReference w:id="47"/>
      </w:r>
      <w:r w:rsidR="00D320DE">
        <w:t xml:space="preserve"> </w:t>
      </w:r>
      <w:r w:rsidR="00BD12C4">
        <w:t>(the IC Act)</w:t>
      </w:r>
      <w:r>
        <w:t xml:space="preserve"> </w:t>
      </w:r>
      <w:r w:rsidR="00145E8A">
        <w:t xml:space="preserve">PURA </w:t>
      </w:r>
      <w:r w:rsidR="00145E8A" w:rsidRPr="00145E8A">
        <w:t>is vested with the legal ownership of th</w:t>
      </w:r>
      <w:r w:rsidR="008F761C">
        <w:t xml:space="preserve">e </w:t>
      </w:r>
      <w:r w:rsidR="00D96284">
        <w:t xml:space="preserve">radio </w:t>
      </w:r>
      <w:r w:rsidR="008F761C">
        <w:t>frequency</w:t>
      </w:r>
      <w:r w:rsidR="00145E8A" w:rsidRPr="00145E8A">
        <w:t xml:space="preserve"> spectrum. </w:t>
      </w:r>
      <w:r w:rsidR="00E87F92" w:rsidRPr="00DE1BD4">
        <w:t xml:space="preserve">Radio spectrum and radio systems are important components of communications during a disaster event. </w:t>
      </w:r>
    </w:p>
    <w:p w14:paraId="519F9703" w14:textId="77777777" w:rsidR="00D67F4F" w:rsidRDefault="00E87F92" w:rsidP="00FA1990">
      <w:r w:rsidRPr="00DE1BD4">
        <w:t>An aspect of disasters is the ability for international partners and countries to come together and work together. This may also involve those partners importing equipment that they are familiar with and wish to utilise on scene. First responders rely heavily on radio networks and the underlying spectrum.</w:t>
      </w:r>
      <w:r w:rsidR="001408CC">
        <w:t xml:space="preserve"> </w:t>
      </w:r>
    </w:p>
    <w:p w14:paraId="4305418C" w14:textId="792F4D13" w:rsidR="00034A95" w:rsidRDefault="00D67F4F" w:rsidP="00FA1990">
      <w:r>
        <w:t xml:space="preserve">A similar situation applies </w:t>
      </w:r>
      <w:r w:rsidR="00C11E24">
        <w:t>whereby</w:t>
      </w:r>
      <w:r w:rsidR="00A04BE8">
        <w:t xml:space="preserve"> </w:t>
      </w:r>
      <w:r w:rsidR="00C11E24">
        <w:t>to</w:t>
      </w:r>
      <w:r w:rsidR="00A04BE8">
        <w:t xml:space="preserve"> operate infrastructure in the radio spectrum, an authorised license is required.</w:t>
      </w:r>
      <w:r w:rsidR="00C11E24" w:rsidRPr="00C11E24">
        <w:t xml:space="preserve"> </w:t>
      </w:r>
      <w:r w:rsidR="00145E8A" w:rsidRPr="00145E8A">
        <w:t xml:space="preserve">Therefore, </w:t>
      </w:r>
      <w:r w:rsidR="00E87F92">
        <w:t>PURA</w:t>
      </w:r>
      <w:r w:rsidR="00145E8A" w:rsidRPr="00145E8A">
        <w:t xml:space="preserve"> </w:t>
      </w:r>
      <w:r w:rsidR="00FA614F">
        <w:t xml:space="preserve">under the IC Act, </w:t>
      </w:r>
      <w:r w:rsidR="00145E8A" w:rsidRPr="00145E8A">
        <w:t xml:space="preserve">may </w:t>
      </w:r>
    </w:p>
    <w:p w14:paraId="10A5F39C" w14:textId="481F0617" w:rsidR="00034A95" w:rsidRDefault="00A12778" w:rsidP="00963CF3">
      <w:pPr>
        <w:pStyle w:val="ListParagraph"/>
        <w:numPr>
          <w:ilvl w:val="0"/>
          <w:numId w:val="51"/>
        </w:numPr>
      </w:pPr>
      <w:r>
        <w:t>G</w:t>
      </w:r>
      <w:r w:rsidR="00145E8A" w:rsidRPr="00145E8A">
        <w:t xml:space="preserve">rant licences for the </w:t>
      </w:r>
      <w:r w:rsidR="00F97AE5">
        <w:t xml:space="preserve">temporary </w:t>
      </w:r>
      <w:r w:rsidR="00145E8A" w:rsidRPr="00145E8A">
        <w:t>provision of communications services</w:t>
      </w:r>
      <w:r w:rsidR="00034A95">
        <w:t>.</w:t>
      </w:r>
    </w:p>
    <w:p w14:paraId="39C73A39" w14:textId="5E9E4FFD" w:rsidR="00034A95" w:rsidRDefault="00A12778" w:rsidP="00963CF3">
      <w:pPr>
        <w:pStyle w:val="ListParagraph"/>
        <w:numPr>
          <w:ilvl w:val="0"/>
          <w:numId w:val="51"/>
        </w:numPr>
      </w:pPr>
      <w:r>
        <w:t>G</w:t>
      </w:r>
      <w:r w:rsidR="00034A95">
        <w:t>rant licenses for the temporary use of radio frequency spectrum.</w:t>
      </w:r>
    </w:p>
    <w:p w14:paraId="6F2A4DA4" w14:textId="77777777" w:rsidR="00A12778" w:rsidRDefault="00034A95" w:rsidP="00963CF3">
      <w:pPr>
        <w:pStyle w:val="ListParagraph"/>
        <w:numPr>
          <w:ilvl w:val="0"/>
          <w:numId w:val="51"/>
        </w:numPr>
      </w:pPr>
      <w:r>
        <w:t xml:space="preserve">Waive </w:t>
      </w:r>
      <w:r w:rsidR="00A12778">
        <w:t>Type Approval requirements on an as needed basis</w:t>
      </w:r>
    </w:p>
    <w:p w14:paraId="509D5531" w14:textId="2B0AB550" w:rsidR="0064799F" w:rsidRDefault="0064799F" w:rsidP="00FA1990">
      <w:r>
        <w:t>There appear to be no implicit provisions in the IC Act for expediting of emergency or disaster communications. This can be done but must be done in consultation with the Minister responsible</w:t>
      </w:r>
      <w:r w:rsidR="00390484">
        <w:t xml:space="preserve"> which may induce delays. </w:t>
      </w:r>
      <w:r w:rsidR="00940DDB">
        <w:t>Ideally the IC Act should include these provisions explicitly.</w:t>
      </w:r>
    </w:p>
    <w:p w14:paraId="47E2DF37" w14:textId="26ACDCBF" w:rsidR="00FA1990" w:rsidRPr="00DE1BD4" w:rsidRDefault="00FA1990" w:rsidP="00FA1990">
      <w:r w:rsidRPr="00DE1BD4">
        <w:t xml:space="preserve">Apart from the day-to-day operational activities of regulating the telecommunications market, </w:t>
      </w:r>
      <w:r>
        <w:t>PURA</w:t>
      </w:r>
      <w:r w:rsidRPr="00DE1BD4">
        <w:t xml:space="preserve"> under the </w:t>
      </w:r>
      <w:r w:rsidR="00BD12C4">
        <w:t xml:space="preserve">IC </w:t>
      </w:r>
      <w:r>
        <w:t>Act,</w:t>
      </w:r>
      <w:r w:rsidRPr="00DE1BD4">
        <w:t xml:space="preserve"> has several provisions that can be bought to bear in the case of a disaster situation. These provisions are</w:t>
      </w:r>
    </w:p>
    <w:p w14:paraId="5E77F9C7" w14:textId="77777777" w:rsidR="00FF684B" w:rsidRDefault="00BC2F08" w:rsidP="00963CF3">
      <w:pPr>
        <w:pStyle w:val="ListParagraph"/>
        <w:numPr>
          <w:ilvl w:val="0"/>
          <w:numId w:val="32"/>
        </w:numPr>
      </w:pPr>
      <w:r>
        <w:t xml:space="preserve">Ensuring licensees </w:t>
      </w:r>
      <w:r w:rsidR="00FF684B">
        <w:t>provide access to emergency service calls</w:t>
      </w:r>
    </w:p>
    <w:p w14:paraId="46C20882" w14:textId="3FD4B91E" w:rsidR="000E000F" w:rsidRPr="00DE1BD4" w:rsidRDefault="00FF684B" w:rsidP="00963CF3">
      <w:pPr>
        <w:pStyle w:val="ListParagraph"/>
        <w:numPr>
          <w:ilvl w:val="0"/>
          <w:numId w:val="32"/>
        </w:numPr>
      </w:pPr>
      <w:r>
        <w:t>Ensure that these ca</w:t>
      </w:r>
      <w:r w:rsidR="000E000F" w:rsidRPr="00DE1BD4">
        <w:t>lls to emergency service numbers are routed for free</w:t>
      </w:r>
      <w:r w:rsidR="002921CC">
        <w:rPr>
          <w:rStyle w:val="FootnoteReference"/>
        </w:rPr>
        <w:footnoteReference w:id="48"/>
      </w:r>
    </w:p>
    <w:p w14:paraId="659A0CCE" w14:textId="54E30A81" w:rsidR="00FA1990" w:rsidRPr="00DE1BD4" w:rsidRDefault="00FA1990" w:rsidP="00963CF3">
      <w:pPr>
        <w:pStyle w:val="ListParagraph"/>
        <w:numPr>
          <w:ilvl w:val="0"/>
          <w:numId w:val="32"/>
        </w:numPr>
      </w:pPr>
      <w:r w:rsidRPr="00DE1BD4">
        <w:t>The use of short codes for emergency calling</w:t>
      </w:r>
      <w:r w:rsidR="00040AA7">
        <w:rPr>
          <w:rStyle w:val="FootnoteReference"/>
        </w:rPr>
        <w:footnoteReference w:id="49"/>
      </w:r>
    </w:p>
    <w:p w14:paraId="2FE23463" w14:textId="68AFC9BF" w:rsidR="00B8022D" w:rsidRDefault="00B8022D" w:rsidP="00B8022D">
      <w:r>
        <w:t xml:space="preserve">Nonetheless, apart from the above stipulations, there are no additional provisions regarding emergency telecommunications noted according to the </w:t>
      </w:r>
      <w:r w:rsidR="00A475E6">
        <w:t xml:space="preserve">IC </w:t>
      </w:r>
      <w:r>
        <w:t xml:space="preserve">Act. In particular, the </w:t>
      </w:r>
      <w:r w:rsidR="00A475E6">
        <w:t xml:space="preserve">IC </w:t>
      </w:r>
      <w:r>
        <w:t xml:space="preserve">Act does not specifically mandate </w:t>
      </w:r>
      <w:r w:rsidR="00B71A30">
        <w:t>PURA</w:t>
      </w:r>
      <w:r>
        <w:t xml:space="preserve"> to develop a comprehensive regulatory framework related to telecom/ICTs for DRM.</w:t>
      </w:r>
    </w:p>
    <w:p w14:paraId="6618AC86" w14:textId="30197722" w:rsidR="00B8022D" w:rsidRDefault="00255312" w:rsidP="00B8022D">
      <w:r>
        <w:t>It could be considered that PURA</w:t>
      </w:r>
      <w:r w:rsidR="00B8022D">
        <w:t xml:space="preserve"> should be held accountable by law for establishing a regulatory framework that includes all the necessary provisions for each of the four phases of disaster risk management for the telecom/ICT</w:t>
      </w:r>
    </w:p>
    <w:p w14:paraId="0825F272" w14:textId="147A46BC" w:rsidR="00255312" w:rsidRPr="00DE1BD4" w:rsidRDefault="00255312" w:rsidP="00255312">
      <w:r w:rsidRPr="00DE1BD4">
        <w:t xml:space="preserve">For discussion of the regulatory issues regarding international emergency telecommunications assistance, please see Section </w:t>
      </w:r>
      <w:r w:rsidRPr="00DE1BD4">
        <w:fldChar w:fldCharType="begin"/>
      </w:r>
      <w:r w:rsidRPr="00DE1BD4">
        <w:instrText xml:space="preserve"> REF _Ref90484343 \r \h </w:instrText>
      </w:r>
      <w:r w:rsidRPr="00DE1BD4">
        <w:fldChar w:fldCharType="separate"/>
      </w:r>
      <w:r w:rsidR="00A475E6">
        <w:t>9.1</w:t>
      </w:r>
      <w:r w:rsidRPr="00DE1BD4">
        <w:fldChar w:fldCharType="end"/>
      </w:r>
      <w:r w:rsidRPr="00DE1BD4">
        <w:t xml:space="preserve"> </w:t>
      </w:r>
      <w:r w:rsidRPr="00DE1BD4">
        <w:fldChar w:fldCharType="begin"/>
      </w:r>
      <w:r w:rsidRPr="00DE1BD4">
        <w:instrText xml:space="preserve"> REF _Ref90484343 \h </w:instrText>
      </w:r>
      <w:r w:rsidRPr="00DE1BD4">
        <w:fldChar w:fldCharType="separate"/>
      </w:r>
      <w:r w:rsidRPr="00DE1BD4">
        <w:t>Tampere Convention</w:t>
      </w:r>
      <w:r w:rsidRPr="00DE1BD4">
        <w:fldChar w:fldCharType="end"/>
      </w:r>
      <w:r w:rsidRPr="00DE1BD4">
        <w:t xml:space="preserve">  </w:t>
      </w:r>
      <w:bookmarkStart w:id="139" w:name="_Toc90758063"/>
      <w:bookmarkStart w:id="140" w:name="_Toc90758229"/>
      <w:bookmarkStart w:id="141" w:name="_Toc90811275"/>
      <w:bookmarkStart w:id="142" w:name="_Toc90811446"/>
      <w:bookmarkStart w:id="143" w:name="_Toc90817117"/>
      <w:bookmarkStart w:id="144" w:name="_Toc90817423"/>
      <w:bookmarkStart w:id="145" w:name="_Toc90825131"/>
      <w:bookmarkStart w:id="146" w:name="_Toc90825273"/>
      <w:bookmarkStart w:id="147" w:name="_Toc90825441"/>
      <w:bookmarkStart w:id="148" w:name="_Toc90825583"/>
      <w:bookmarkStart w:id="149" w:name="_Toc90825877"/>
      <w:bookmarkEnd w:id="139"/>
      <w:bookmarkEnd w:id="140"/>
      <w:bookmarkEnd w:id="141"/>
      <w:bookmarkEnd w:id="142"/>
      <w:bookmarkEnd w:id="143"/>
      <w:bookmarkEnd w:id="144"/>
      <w:bookmarkEnd w:id="145"/>
      <w:bookmarkEnd w:id="146"/>
      <w:bookmarkEnd w:id="147"/>
      <w:bookmarkEnd w:id="148"/>
      <w:bookmarkEnd w:id="149"/>
    </w:p>
    <w:p w14:paraId="6AE6D50C" w14:textId="29027146" w:rsidR="00255312" w:rsidRPr="00DE1BD4" w:rsidRDefault="00255312" w:rsidP="00255312">
      <w:pPr>
        <w:rPr>
          <w:b/>
          <w:i/>
          <w:iCs/>
        </w:rPr>
      </w:pPr>
      <w:r w:rsidRPr="00DE1BD4">
        <w:rPr>
          <w:b/>
          <w:i/>
          <w:iCs/>
        </w:rPr>
        <w:t xml:space="preserve">Implementation Task </w:t>
      </w:r>
      <w:r>
        <w:rPr>
          <w:b/>
          <w:i/>
          <w:iCs/>
        </w:rPr>
        <w:t>4</w:t>
      </w:r>
      <w:r w:rsidRPr="00DE1BD4">
        <w:rPr>
          <w:b/>
          <w:i/>
          <w:iCs/>
        </w:rPr>
        <w:t>:</w:t>
      </w:r>
    </w:p>
    <w:p w14:paraId="1D51228C" w14:textId="25C7DFAA" w:rsidR="003C4CBC" w:rsidRDefault="00255312" w:rsidP="00BA605E">
      <w:pPr>
        <w:rPr>
          <w:i/>
          <w:iCs/>
        </w:rPr>
      </w:pPr>
      <w:bookmarkStart w:id="150" w:name="_Hlk181881278"/>
      <w:r w:rsidRPr="00DE1BD4">
        <w:rPr>
          <w:i/>
          <w:iCs/>
        </w:rPr>
        <w:t xml:space="preserve">The </w:t>
      </w:r>
      <w:r>
        <w:rPr>
          <w:i/>
          <w:iCs/>
        </w:rPr>
        <w:t>Public Utilities Regulatory Authority</w:t>
      </w:r>
      <w:r w:rsidRPr="00DE1BD4">
        <w:t xml:space="preserve"> (</w:t>
      </w:r>
      <w:r w:rsidRPr="006B39B2">
        <w:rPr>
          <w:i/>
          <w:iCs/>
        </w:rPr>
        <w:t>PURA</w:t>
      </w:r>
      <w:r w:rsidRPr="00DE1BD4">
        <w:rPr>
          <w:i/>
          <w:iCs/>
        </w:rPr>
        <w:t xml:space="preserve">) </w:t>
      </w:r>
      <w:r>
        <w:rPr>
          <w:i/>
          <w:iCs/>
        </w:rPr>
        <w:t>is</w:t>
      </w:r>
      <w:r w:rsidRPr="00DE1BD4">
        <w:rPr>
          <w:i/>
          <w:iCs/>
        </w:rPr>
        <w:t xml:space="preserve"> responsible for establishing specific regulations for the telecom/ICT sector on disaster risk management. These regulations should be based on its functions granted by legislation, encouraging telecom/ICT network and service providers to actively participate in each of the phases of disaster risk management.</w:t>
      </w:r>
      <w:r>
        <w:rPr>
          <w:i/>
          <w:iCs/>
        </w:rPr>
        <w:t xml:space="preserve"> </w:t>
      </w:r>
      <w:r w:rsidR="009C7732" w:rsidRPr="00255312">
        <w:rPr>
          <w:i/>
          <w:iCs/>
        </w:rPr>
        <w:t xml:space="preserve">Consequently, PURA should review and enhance the regulatory framework that facilitates the use of telecommunications resources in each of the phases of disaster management for the local telecom/ICT services sector. </w:t>
      </w:r>
    </w:p>
    <w:p w14:paraId="42741435" w14:textId="08F3182D" w:rsidR="00BA605E" w:rsidRPr="00255312" w:rsidRDefault="003B1E9A" w:rsidP="00BA605E">
      <w:pPr>
        <w:rPr>
          <w:i/>
          <w:iCs/>
          <w:color w:val="FF0000"/>
        </w:rPr>
      </w:pPr>
      <w:r w:rsidRPr="003B1E9A">
        <w:rPr>
          <w:i/>
          <w:iCs/>
        </w:rPr>
        <w:t xml:space="preserve">PURA should undertake a review of specific regulations that have a DRM aspect and consider updating these regulations to reflect best practice and explicit application to DRM. </w:t>
      </w:r>
      <w:r w:rsidR="00BA605E" w:rsidRPr="00255312">
        <w:rPr>
          <w:i/>
          <w:iCs/>
        </w:rPr>
        <w:t xml:space="preserve">Areas that could be addressed include (but are not limited to) those presented in the following sections. </w:t>
      </w:r>
    </w:p>
    <w:p w14:paraId="54AFF57B" w14:textId="77777777" w:rsidR="00BA605E" w:rsidRPr="00255312" w:rsidRDefault="00BA605E" w:rsidP="00A475E6">
      <w:pPr>
        <w:pStyle w:val="Normalcover"/>
        <w:numPr>
          <w:ilvl w:val="0"/>
          <w:numId w:val="67"/>
        </w:numPr>
        <w:rPr>
          <w:rFonts w:ascii="Calibri" w:hAnsi="Calibri" w:cs="Calibri"/>
          <w:i/>
          <w:iCs/>
          <w:sz w:val="22"/>
          <w:szCs w:val="22"/>
        </w:rPr>
      </w:pPr>
      <w:bookmarkStart w:id="151" w:name="_Toc90825880"/>
      <w:bookmarkStart w:id="152" w:name="_Toc90826013"/>
      <w:bookmarkStart w:id="153" w:name="_Toc91172668"/>
      <w:bookmarkStart w:id="154" w:name="_Toc91185555"/>
      <w:r w:rsidRPr="00255312">
        <w:rPr>
          <w:rFonts w:ascii="Calibri" w:hAnsi="Calibri" w:cs="Calibri"/>
          <w:i/>
          <w:iCs/>
          <w:sz w:val="22"/>
          <w:szCs w:val="22"/>
        </w:rPr>
        <w:t>Mitigation and Preparedness Phases</w:t>
      </w:r>
      <w:bookmarkEnd w:id="151"/>
      <w:bookmarkEnd w:id="152"/>
      <w:bookmarkEnd w:id="153"/>
      <w:bookmarkEnd w:id="154"/>
    </w:p>
    <w:p w14:paraId="7D694B9E" w14:textId="77777777" w:rsidR="00BA605E" w:rsidRPr="00255312" w:rsidRDefault="00BA605E" w:rsidP="00A475E6">
      <w:pPr>
        <w:numPr>
          <w:ilvl w:val="0"/>
          <w:numId w:val="66"/>
        </w:numPr>
        <w:pBdr>
          <w:top w:val="nil"/>
          <w:left w:val="nil"/>
          <w:bottom w:val="nil"/>
          <w:right w:val="nil"/>
          <w:between w:val="nil"/>
        </w:pBdr>
        <w:spacing w:after="0" w:line="240" w:lineRule="auto"/>
        <w:rPr>
          <w:i/>
          <w:iCs/>
        </w:rPr>
      </w:pPr>
      <w:r w:rsidRPr="00255312">
        <w:rPr>
          <w:i/>
          <w:iCs/>
          <w:color w:val="000000"/>
        </w:rPr>
        <w:t>Oblige telecommunications service providers to carry out vulnerability analyses of their networks according to risk maps of different geographical areas and to establish corresponding contingency plans that guarantee, to the extent possible, vital communications for emergency management and disaster risk reduction, as well as the timely restoration of user communications. These plans should be submitted to and approved by PURA.</w:t>
      </w:r>
    </w:p>
    <w:p w14:paraId="4B86E7BB" w14:textId="77777777" w:rsidR="00BA605E" w:rsidRPr="00255312" w:rsidRDefault="00BA605E" w:rsidP="00BA605E">
      <w:pPr>
        <w:pBdr>
          <w:top w:val="nil"/>
          <w:left w:val="nil"/>
          <w:bottom w:val="nil"/>
          <w:right w:val="nil"/>
          <w:between w:val="nil"/>
        </w:pBdr>
        <w:spacing w:after="0" w:line="240" w:lineRule="auto"/>
        <w:ind w:left="720"/>
        <w:rPr>
          <w:i/>
          <w:iCs/>
        </w:rPr>
      </w:pPr>
    </w:p>
    <w:p w14:paraId="17CE588C" w14:textId="3830BBEE" w:rsidR="00343647" w:rsidRDefault="00343647" w:rsidP="0024365B">
      <w:pPr>
        <w:numPr>
          <w:ilvl w:val="0"/>
          <w:numId w:val="66"/>
        </w:numPr>
        <w:pBdr>
          <w:top w:val="nil"/>
          <w:left w:val="nil"/>
          <w:bottom w:val="nil"/>
          <w:right w:val="nil"/>
          <w:between w:val="nil"/>
        </w:pBdr>
        <w:spacing w:after="0" w:line="240" w:lineRule="auto"/>
        <w:rPr>
          <w:i/>
          <w:iCs/>
          <w:color w:val="000000"/>
        </w:rPr>
      </w:pPr>
      <w:r>
        <w:rPr>
          <w:i/>
          <w:iCs/>
          <w:color w:val="000000"/>
        </w:rPr>
        <w:t xml:space="preserve">Ensuring that </w:t>
      </w:r>
      <w:r w:rsidR="00051C8E">
        <w:rPr>
          <w:i/>
          <w:iCs/>
          <w:color w:val="000000"/>
        </w:rPr>
        <w:t xml:space="preserve">the </w:t>
      </w:r>
      <w:r w:rsidR="0093661A">
        <w:rPr>
          <w:i/>
          <w:iCs/>
          <w:color w:val="000000"/>
        </w:rPr>
        <w:t xml:space="preserve">associated legal instruments have </w:t>
      </w:r>
      <w:r w:rsidR="001F33DB">
        <w:rPr>
          <w:i/>
          <w:iCs/>
          <w:color w:val="000000"/>
        </w:rPr>
        <w:t>explicit wording</w:t>
      </w:r>
      <w:r w:rsidR="00EE6DF8">
        <w:rPr>
          <w:i/>
          <w:iCs/>
          <w:color w:val="000000"/>
        </w:rPr>
        <w:t xml:space="preserve"> to ensure that</w:t>
      </w:r>
      <w:r w:rsidR="00051C8E">
        <w:rPr>
          <w:i/>
          <w:iCs/>
          <w:color w:val="000000"/>
        </w:rPr>
        <w:t xml:space="preserve"> </w:t>
      </w:r>
      <w:r w:rsidR="008A6C5F">
        <w:rPr>
          <w:i/>
          <w:iCs/>
          <w:color w:val="000000"/>
        </w:rPr>
        <w:t>temporary arrangements</w:t>
      </w:r>
      <w:r>
        <w:rPr>
          <w:i/>
          <w:iCs/>
          <w:color w:val="000000"/>
        </w:rPr>
        <w:t xml:space="preserve"> for spectrum</w:t>
      </w:r>
      <w:r w:rsidR="008A6C5F">
        <w:rPr>
          <w:i/>
          <w:iCs/>
          <w:color w:val="000000"/>
        </w:rPr>
        <w:t xml:space="preserve"> licenses, </w:t>
      </w:r>
      <w:r w:rsidR="00B4633C">
        <w:rPr>
          <w:i/>
          <w:iCs/>
          <w:color w:val="000000"/>
        </w:rPr>
        <w:t xml:space="preserve">operational licenses, </w:t>
      </w:r>
      <w:r w:rsidR="008A6C5F">
        <w:rPr>
          <w:i/>
          <w:iCs/>
          <w:color w:val="000000"/>
        </w:rPr>
        <w:t xml:space="preserve">type approvals or other </w:t>
      </w:r>
      <w:r w:rsidR="00051C8E">
        <w:rPr>
          <w:i/>
          <w:iCs/>
          <w:color w:val="000000"/>
        </w:rPr>
        <w:t xml:space="preserve">such </w:t>
      </w:r>
      <w:r w:rsidR="00B4633C">
        <w:rPr>
          <w:i/>
          <w:iCs/>
          <w:color w:val="000000"/>
        </w:rPr>
        <w:t>matters</w:t>
      </w:r>
      <w:r w:rsidR="00051C8E">
        <w:rPr>
          <w:i/>
          <w:iCs/>
          <w:color w:val="000000"/>
        </w:rPr>
        <w:t xml:space="preserve"> can be </w:t>
      </w:r>
      <w:r w:rsidR="00EE6DF8">
        <w:rPr>
          <w:i/>
          <w:iCs/>
          <w:color w:val="000000"/>
        </w:rPr>
        <w:t>expedited</w:t>
      </w:r>
      <w:r w:rsidR="001F33DB">
        <w:rPr>
          <w:i/>
          <w:iCs/>
          <w:color w:val="000000"/>
        </w:rPr>
        <w:t xml:space="preserve"> in a disaster situation without Ministerial consent.</w:t>
      </w:r>
    </w:p>
    <w:p w14:paraId="01310945" w14:textId="77777777" w:rsidR="0024365B" w:rsidRDefault="0024365B" w:rsidP="0024365B">
      <w:pPr>
        <w:pStyle w:val="ListParagraph"/>
        <w:spacing w:after="0"/>
        <w:rPr>
          <w:i/>
          <w:iCs/>
          <w:color w:val="000000"/>
        </w:rPr>
      </w:pPr>
    </w:p>
    <w:p w14:paraId="1174CA2D" w14:textId="7E4E8BAC" w:rsidR="00BA605E" w:rsidRPr="00255312" w:rsidRDefault="00BA605E" w:rsidP="00A475E6">
      <w:pPr>
        <w:numPr>
          <w:ilvl w:val="0"/>
          <w:numId w:val="66"/>
        </w:numPr>
        <w:pBdr>
          <w:top w:val="nil"/>
          <w:left w:val="nil"/>
          <w:bottom w:val="nil"/>
          <w:right w:val="nil"/>
          <w:between w:val="nil"/>
        </w:pBdr>
        <w:spacing w:after="0" w:line="240" w:lineRule="auto"/>
        <w:rPr>
          <w:i/>
          <w:iCs/>
          <w:color w:val="000000"/>
        </w:rPr>
      </w:pPr>
      <w:r w:rsidRPr="00255312">
        <w:rPr>
          <w:i/>
          <w:iCs/>
          <w:color w:val="000000"/>
        </w:rPr>
        <w:t>Require that radio and commercial broadcasting operators, public and private television broadcasting operators, as well as civil society entities with assigned radio frequencies, transmit information campaigns for the mitigation of disasters and emergencies. These campaigns should be developed in coordination with NDMA</w:t>
      </w:r>
      <w:r w:rsidRPr="00255312">
        <w:rPr>
          <w:i/>
          <w:iCs/>
        </w:rPr>
        <w:t xml:space="preserve"> and </w:t>
      </w:r>
      <w:r w:rsidRPr="00255312">
        <w:rPr>
          <w:i/>
          <w:iCs/>
          <w:color w:val="000000"/>
        </w:rPr>
        <w:t>the PURA and should have a regulated duration and broadcasting timeline.</w:t>
      </w:r>
    </w:p>
    <w:p w14:paraId="487CE0A3" w14:textId="77777777" w:rsidR="00BA605E" w:rsidRPr="00255312" w:rsidRDefault="00BA605E" w:rsidP="00BA605E">
      <w:pPr>
        <w:pBdr>
          <w:top w:val="nil"/>
          <w:left w:val="nil"/>
          <w:bottom w:val="nil"/>
          <w:right w:val="nil"/>
          <w:between w:val="nil"/>
        </w:pBdr>
        <w:spacing w:after="0" w:line="240" w:lineRule="auto"/>
        <w:ind w:left="360"/>
        <w:rPr>
          <w:i/>
          <w:iCs/>
          <w:color w:val="000000"/>
        </w:rPr>
      </w:pPr>
    </w:p>
    <w:p w14:paraId="79C2A135" w14:textId="77777777" w:rsidR="00BA605E" w:rsidRPr="00255312" w:rsidRDefault="00BA605E" w:rsidP="00A475E6">
      <w:pPr>
        <w:numPr>
          <w:ilvl w:val="0"/>
          <w:numId w:val="66"/>
        </w:numPr>
        <w:pBdr>
          <w:top w:val="nil"/>
          <w:left w:val="nil"/>
          <w:bottom w:val="nil"/>
          <w:right w:val="nil"/>
          <w:between w:val="nil"/>
        </w:pBdr>
        <w:spacing w:after="0" w:line="240" w:lineRule="auto"/>
        <w:rPr>
          <w:i/>
          <w:iCs/>
        </w:rPr>
      </w:pPr>
      <w:r w:rsidRPr="00255312">
        <w:rPr>
          <w:i/>
          <w:iCs/>
          <w:color w:val="000000"/>
        </w:rPr>
        <w:t xml:space="preserve">Require that radio and commercial broadcasting operators, public and private television broadcasting operators, as well as mobile providers, disseminate CAP alerts to inform the population of a hazard accurately and in a timely manner. </w:t>
      </w:r>
    </w:p>
    <w:p w14:paraId="331E5178" w14:textId="77777777" w:rsidR="00255312" w:rsidRDefault="00255312" w:rsidP="00255312">
      <w:pPr>
        <w:pStyle w:val="ListParagraph"/>
        <w:rPr>
          <w:i/>
          <w:iCs/>
        </w:rPr>
      </w:pPr>
    </w:p>
    <w:p w14:paraId="3AAF5FD9" w14:textId="77777777" w:rsidR="00BA605E" w:rsidRPr="00255312" w:rsidRDefault="00BA605E" w:rsidP="00A475E6">
      <w:pPr>
        <w:pStyle w:val="ListParagraph"/>
        <w:numPr>
          <w:ilvl w:val="0"/>
          <w:numId w:val="67"/>
        </w:numPr>
        <w:rPr>
          <w:i/>
          <w:iCs/>
        </w:rPr>
      </w:pPr>
      <w:bookmarkStart w:id="155" w:name="_Toc90825881"/>
      <w:bookmarkStart w:id="156" w:name="_Toc90826014"/>
      <w:bookmarkStart w:id="157" w:name="_Toc91172669"/>
      <w:bookmarkStart w:id="158" w:name="_Toc91185556"/>
      <w:r w:rsidRPr="00255312">
        <w:rPr>
          <w:i/>
          <w:iCs/>
        </w:rPr>
        <w:t>Response Phase</w:t>
      </w:r>
      <w:bookmarkEnd w:id="155"/>
      <w:bookmarkEnd w:id="156"/>
      <w:bookmarkEnd w:id="157"/>
      <w:bookmarkEnd w:id="158"/>
    </w:p>
    <w:p w14:paraId="74FCC964" w14:textId="77777777" w:rsidR="00BA605E" w:rsidRPr="00255312" w:rsidRDefault="00BA605E" w:rsidP="00AA2C39">
      <w:pPr>
        <w:numPr>
          <w:ilvl w:val="0"/>
          <w:numId w:val="68"/>
        </w:numPr>
        <w:pBdr>
          <w:top w:val="nil"/>
          <w:left w:val="nil"/>
          <w:bottom w:val="nil"/>
          <w:right w:val="nil"/>
          <w:between w:val="nil"/>
        </w:pBdr>
        <w:spacing w:after="0" w:line="240" w:lineRule="auto"/>
        <w:rPr>
          <w:i/>
          <w:iCs/>
        </w:rPr>
      </w:pPr>
      <w:r w:rsidRPr="00255312">
        <w:rPr>
          <w:i/>
          <w:iCs/>
          <w:color w:val="000000"/>
        </w:rPr>
        <w:t>Ensure that providers of commercial fixed and mobile telecommunications services take the necessary measures to make available their networks and sufficient capacity for communications to the authorities and affected population, free of charge and in a timely manner, as soon as a disaster situation or emergency is declared.</w:t>
      </w:r>
    </w:p>
    <w:p w14:paraId="20C6FF0F" w14:textId="77777777" w:rsidR="00BA605E" w:rsidRPr="00255312" w:rsidRDefault="00BA605E" w:rsidP="00BA605E">
      <w:pPr>
        <w:pBdr>
          <w:top w:val="nil"/>
          <w:left w:val="nil"/>
          <w:bottom w:val="nil"/>
          <w:right w:val="nil"/>
          <w:between w:val="nil"/>
        </w:pBdr>
        <w:spacing w:after="0" w:line="240" w:lineRule="auto"/>
        <w:ind w:left="720"/>
        <w:rPr>
          <w:i/>
          <w:iCs/>
          <w:color w:val="000000"/>
        </w:rPr>
      </w:pPr>
    </w:p>
    <w:p w14:paraId="0D33B480" w14:textId="77777777" w:rsidR="00BA605E" w:rsidRPr="00255312" w:rsidRDefault="00BA605E" w:rsidP="00AA2C39">
      <w:pPr>
        <w:numPr>
          <w:ilvl w:val="0"/>
          <w:numId w:val="68"/>
        </w:numPr>
        <w:pBdr>
          <w:top w:val="nil"/>
          <w:left w:val="nil"/>
          <w:bottom w:val="nil"/>
          <w:right w:val="nil"/>
          <w:between w:val="nil"/>
        </w:pBdr>
        <w:spacing w:after="0" w:line="240" w:lineRule="auto"/>
        <w:rPr>
          <w:i/>
          <w:iCs/>
        </w:rPr>
      </w:pPr>
      <w:r w:rsidRPr="00255312">
        <w:rPr>
          <w:i/>
          <w:iCs/>
          <w:color w:val="000000"/>
        </w:rPr>
        <w:t xml:space="preserve">Require providers of commercial mobile service to encourage their customers to send SMS messages instead of other means of communication such as voice or data services, to avoid network congestion. Also, require that commercial telecommunications, fixed and mobile service providers, to limit the duration of calls to, for example, a maximum of 2 minutes in the geographic area of ​​the disaster for a period of 12 hours following the event that generates the emergency. These norms would not apply to calls made from or to the numbers of the authorities involved in the emergency response. </w:t>
      </w:r>
    </w:p>
    <w:p w14:paraId="13A04202" w14:textId="77777777" w:rsidR="00BA605E" w:rsidRPr="00255312" w:rsidRDefault="00BA605E" w:rsidP="00BA605E">
      <w:pPr>
        <w:pBdr>
          <w:top w:val="nil"/>
          <w:left w:val="nil"/>
          <w:bottom w:val="nil"/>
          <w:right w:val="nil"/>
          <w:between w:val="nil"/>
        </w:pBdr>
        <w:spacing w:after="0" w:line="240" w:lineRule="auto"/>
        <w:ind w:left="720"/>
        <w:rPr>
          <w:i/>
          <w:iCs/>
          <w:color w:val="000000"/>
        </w:rPr>
      </w:pPr>
    </w:p>
    <w:p w14:paraId="0611005A" w14:textId="77777777" w:rsidR="00BA605E" w:rsidRPr="00255312" w:rsidRDefault="00BA605E" w:rsidP="00AA2C39">
      <w:pPr>
        <w:numPr>
          <w:ilvl w:val="0"/>
          <w:numId w:val="68"/>
        </w:numPr>
        <w:pBdr>
          <w:top w:val="nil"/>
          <w:left w:val="nil"/>
          <w:bottom w:val="nil"/>
          <w:right w:val="nil"/>
          <w:between w:val="nil"/>
        </w:pBdr>
        <w:spacing w:after="0" w:line="240" w:lineRule="auto"/>
        <w:rPr>
          <w:i/>
          <w:iCs/>
        </w:rPr>
      </w:pPr>
      <w:r w:rsidRPr="00255312">
        <w:rPr>
          <w:i/>
          <w:iCs/>
          <w:color w:val="000000"/>
        </w:rPr>
        <w:t>Ensure that providers of commercial fixed and mobile telecommunications services give priority in communications to calls made by the authorities for a period of 24 hours after the emergency is declared, extendable as decided by the responsible authority (e.g. DMD</w:t>
      </w:r>
      <w:r w:rsidRPr="00255312">
        <w:rPr>
          <w:i/>
          <w:iCs/>
        </w:rPr>
        <w:t>).</w:t>
      </w:r>
    </w:p>
    <w:p w14:paraId="554723F5" w14:textId="77777777" w:rsidR="00BA605E" w:rsidRPr="00255312" w:rsidRDefault="00BA605E" w:rsidP="00BA605E">
      <w:pPr>
        <w:pBdr>
          <w:top w:val="nil"/>
          <w:left w:val="nil"/>
          <w:bottom w:val="nil"/>
          <w:right w:val="nil"/>
          <w:between w:val="nil"/>
        </w:pBdr>
        <w:spacing w:after="0" w:line="240" w:lineRule="auto"/>
        <w:ind w:left="720"/>
        <w:rPr>
          <w:i/>
          <w:iCs/>
          <w:color w:val="000000"/>
        </w:rPr>
      </w:pPr>
    </w:p>
    <w:p w14:paraId="253B4EBD" w14:textId="77777777" w:rsidR="00BA605E" w:rsidRPr="00255312" w:rsidRDefault="00BA605E" w:rsidP="00AA2C39">
      <w:pPr>
        <w:numPr>
          <w:ilvl w:val="0"/>
          <w:numId w:val="68"/>
        </w:numPr>
        <w:pBdr>
          <w:top w:val="nil"/>
          <w:left w:val="nil"/>
          <w:bottom w:val="nil"/>
          <w:right w:val="nil"/>
          <w:between w:val="nil"/>
        </w:pBdr>
        <w:spacing w:after="0" w:line="240" w:lineRule="auto"/>
        <w:rPr>
          <w:i/>
          <w:iCs/>
        </w:rPr>
      </w:pPr>
      <w:r w:rsidRPr="00255312">
        <w:rPr>
          <w:i/>
          <w:iCs/>
          <w:color w:val="000000"/>
        </w:rPr>
        <w:t xml:space="preserve">Oblige radio broadcasting, commercial and community operators, as well as public and private television broadcasting operators, to transmit messages </w:t>
      </w:r>
      <w:r w:rsidRPr="00255312">
        <w:rPr>
          <w:i/>
          <w:iCs/>
        </w:rPr>
        <w:t xml:space="preserve">from DMD to inform and update the public about the disaster. These messages could include helpful content </w:t>
      </w:r>
      <w:r w:rsidRPr="00255312">
        <w:rPr>
          <w:i/>
          <w:iCs/>
          <w:color w:val="000000"/>
        </w:rPr>
        <w:t>regarding health services, shelter, food, and family reunification, among others.</w:t>
      </w:r>
    </w:p>
    <w:p w14:paraId="6F486F3D" w14:textId="77777777" w:rsidR="00BA605E" w:rsidRPr="00255312" w:rsidRDefault="00BA605E" w:rsidP="00BA605E">
      <w:pPr>
        <w:pBdr>
          <w:top w:val="nil"/>
          <w:left w:val="nil"/>
          <w:bottom w:val="nil"/>
          <w:right w:val="nil"/>
          <w:between w:val="nil"/>
        </w:pBdr>
        <w:spacing w:after="0" w:line="240" w:lineRule="auto"/>
        <w:ind w:left="720"/>
        <w:rPr>
          <w:i/>
          <w:iCs/>
          <w:color w:val="000000"/>
        </w:rPr>
      </w:pPr>
    </w:p>
    <w:p w14:paraId="48E07B69" w14:textId="77777777" w:rsidR="00BA605E" w:rsidRPr="00255312" w:rsidRDefault="00BA605E" w:rsidP="00AA2C39">
      <w:pPr>
        <w:numPr>
          <w:ilvl w:val="0"/>
          <w:numId w:val="68"/>
        </w:numPr>
        <w:pBdr>
          <w:top w:val="nil"/>
          <w:left w:val="nil"/>
          <w:bottom w:val="nil"/>
          <w:right w:val="nil"/>
          <w:between w:val="nil"/>
        </w:pBdr>
        <w:spacing w:after="0" w:line="240" w:lineRule="auto"/>
        <w:rPr>
          <w:i/>
          <w:iCs/>
        </w:rPr>
      </w:pPr>
      <w:r w:rsidRPr="00255312">
        <w:rPr>
          <w:i/>
          <w:iCs/>
          <w:color w:val="000000"/>
        </w:rPr>
        <w:t>Oblige telecommunications service providers to immediately assess the damage to their networks and implement the previously prepared contingency plans, to re-establish communications as soon as possible. The different government entities, through the PURA, should support and facilitate the implementation of those contingency plans.</w:t>
      </w:r>
    </w:p>
    <w:p w14:paraId="5E7940A5" w14:textId="77777777" w:rsidR="00255312" w:rsidRDefault="00255312" w:rsidP="00255312">
      <w:pPr>
        <w:pStyle w:val="ListParagraph"/>
        <w:rPr>
          <w:i/>
          <w:iCs/>
        </w:rPr>
      </w:pPr>
    </w:p>
    <w:p w14:paraId="66EB358C" w14:textId="77777777" w:rsidR="00BA605E" w:rsidRPr="00255312" w:rsidRDefault="00BA605E" w:rsidP="00A475E6">
      <w:pPr>
        <w:pStyle w:val="ListParagraph"/>
        <w:numPr>
          <w:ilvl w:val="0"/>
          <w:numId w:val="67"/>
        </w:numPr>
        <w:rPr>
          <w:i/>
          <w:iCs/>
        </w:rPr>
      </w:pPr>
      <w:bookmarkStart w:id="159" w:name="_Toc90825882"/>
      <w:bookmarkStart w:id="160" w:name="_Toc90826015"/>
      <w:bookmarkStart w:id="161" w:name="_Toc91172670"/>
      <w:bookmarkStart w:id="162" w:name="_Toc91185557"/>
      <w:r w:rsidRPr="00255312">
        <w:rPr>
          <w:i/>
          <w:iCs/>
        </w:rPr>
        <w:t>Recovery Phase</w:t>
      </w:r>
      <w:bookmarkEnd w:id="159"/>
      <w:bookmarkEnd w:id="160"/>
      <w:bookmarkEnd w:id="161"/>
      <w:bookmarkEnd w:id="162"/>
    </w:p>
    <w:p w14:paraId="687223DC" w14:textId="77777777" w:rsidR="00BA605E" w:rsidRPr="00255312" w:rsidRDefault="00BA605E" w:rsidP="00AA2C39">
      <w:pPr>
        <w:numPr>
          <w:ilvl w:val="0"/>
          <w:numId w:val="69"/>
        </w:numPr>
        <w:pBdr>
          <w:top w:val="nil"/>
          <w:left w:val="nil"/>
          <w:bottom w:val="nil"/>
          <w:right w:val="nil"/>
          <w:between w:val="nil"/>
        </w:pBdr>
        <w:spacing w:line="240" w:lineRule="auto"/>
        <w:rPr>
          <w:i/>
          <w:iCs/>
          <w:color w:val="000000"/>
        </w:rPr>
      </w:pPr>
      <w:r w:rsidRPr="00255312">
        <w:rPr>
          <w:i/>
          <w:iCs/>
          <w:color w:val="000000"/>
        </w:rPr>
        <w:t>Require commercial and telecommunications service providers to re-establish permanent solutions to restore and improve communications to end users, with the aim of building back better, in alignment with the Sendai Framework.</w:t>
      </w:r>
    </w:p>
    <w:bookmarkEnd w:id="150"/>
    <w:p w14:paraId="0F3403AA" w14:textId="77777777" w:rsidR="00C34274" w:rsidRPr="00DE1BD4" w:rsidRDefault="00C34274" w:rsidP="00F567FD">
      <w:pPr>
        <w:spacing w:line="240" w:lineRule="auto"/>
        <w:rPr>
          <w:rFonts w:asciiTheme="minorHAnsi" w:hAnsiTheme="minorHAnsi" w:cstheme="minorHAnsi"/>
        </w:rPr>
      </w:pPr>
    </w:p>
    <w:p w14:paraId="0309E301" w14:textId="77777777" w:rsidR="00327E03" w:rsidRPr="00DE1BD4" w:rsidRDefault="00327E03">
      <w:pPr>
        <w:jc w:val="left"/>
      </w:pPr>
      <w:bookmarkStart w:id="163" w:name="_Toc90825831"/>
      <w:bookmarkStart w:id="164" w:name="_Toc90825968"/>
      <w:r w:rsidRPr="00DE1BD4">
        <w:br w:type="page"/>
      </w:r>
    </w:p>
    <w:p w14:paraId="6400961C" w14:textId="5A7C62FF" w:rsidR="00AB1F8A" w:rsidRPr="00DE1BD4" w:rsidRDefault="00AB1F8A" w:rsidP="003D5113">
      <w:pPr>
        <w:pStyle w:val="NoNumber"/>
        <w:ind w:left="0" w:firstLine="0"/>
        <w:jc w:val="center"/>
      </w:pPr>
      <w:bookmarkStart w:id="165" w:name="_qsh70q"/>
      <w:bookmarkStart w:id="166" w:name="_1pxezwc"/>
      <w:bookmarkStart w:id="167" w:name="_3o7alnk"/>
      <w:bookmarkStart w:id="168" w:name="_Toc90825976"/>
      <w:bookmarkStart w:id="169" w:name="_Toc91172626"/>
      <w:bookmarkStart w:id="170" w:name="_Toc91185513"/>
      <w:bookmarkStart w:id="171" w:name="_Toc181885791"/>
      <w:bookmarkEnd w:id="163"/>
      <w:bookmarkEnd w:id="164"/>
      <w:bookmarkEnd w:id="165"/>
      <w:bookmarkEnd w:id="166"/>
      <w:bookmarkEnd w:id="167"/>
      <w:r w:rsidRPr="00DE1BD4">
        <w:t>Mitigation Phase</w:t>
      </w:r>
      <w:bookmarkEnd w:id="168"/>
      <w:bookmarkEnd w:id="169"/>
      <w:bookmarkEnd w:id="170"/>
      <w:bookmarkEnd w:id="171"/>
    </w:p>
    <w:p w14:paraId="6A6291D5" w14:textId="03161F05" w:rsidR="00C4228B" w:rsidRPr="00DE1BD4" w:rsidRDefault="00C4228B" w:rsidP="00A84834">
      <w:pPr>
        <w:pStyle w:val="Heading1"/>
      </w:pPr>
      <w:bookmarkStart w:id="172" w:name="_23ckvvd"/>
      <w:bookmarkStart w:id="173" w:name="_Toc90825839"/>
      <w:bookmarkStart w:id="174" w:name="_Toc90825977"/>
      <w:bookmarkStart w:id="175" w:name="_Toc91172627"/>
      <w:bookmarkStart w:id="176" w:name="_Toc91185514"/>
      <w:bookmarkStart w:id="177" w:name="_Toc181885792"/>
      <w:bookmarkEnd w:id="172"/>
      <w:r w:rsidRPr="00DE1BD4">
        <w:t xml:space="preserve">Vulnerability to Disasters from Natural Hazards in </w:t>
      </w:r>
      <w:bookmarkEnd w:id="173"/>
      <w:bookmarkEnd w:id="174"/>
      <w:bookmarkEnd w:id="175"/>
      <w:bookmarkEnd w:id="176"/>
      <w:r w:rsidR="00BD66D4" w:rsidRPr="00DE1BD4">
        <w:t>T</w:t>
      </w:r>
      <w:r w:rsidR="0036058A">
        <w:t>he Gambia</w:t>
      </w:r>
      <w:bookmarkEnd w:id="177"/>
    </w:p>
    <w:p w14:paraId="247F23A0" w14:textId="67C5A818" w:rsidR="00AE5AE4" w:rsidRPr="00DE1BD4" w:rsidRDefault="00FA01E8" w:rsidP="00AE5AE4">
      <w:pPr>
        <w:rPr>
          <w:i/>
          <w:iCs/>
        </w:rPr>
      </w:pPr>
      <w:r>
        <w:rPr>
          <w:i/>
          <w:iCs/>
        </w:rPr>
        <w:t>The Gambia</w:t>
      </w:r>
      <w:r w:rsidR="00AE5AE4" w:rsidRPr="00DE1BD4">
        <w:rPr>
          <w:i/>
          <w:iCs/>
        </w:rPr>
        <w:t xml:space="preserve"> should maintain updated vulnerability maps for the different types of hazards in the NETP and especially those related to droughts, floods, and epidemics.</w:t>
      </w:r>
    </w:p>
    <w:p w14:paraId="26804672" w14:textId="179464CD" w:rsidR="00F56911" w:rsidRPr="00DE1BD4" w:rsidRDefault="00F56911" w:rsidP="00F56911">
      <w:pPr>
        <w:pStyle w:val="Heading2"/>
      </w:pPr>
      <w:bookmarkStart w:id="178" w:name="_Toc181885793"/>
      <w:r w:rsidRPr="00DE1BD4">
        <w:t>Overview</w:t>
      </w:r>
      <w:bookmarkEnd w:id="178"/>
    </w:p>
    <w:p w14:paraId="4DF24985" w14:textId="008AA599" w:rsidR="004325FC" w:rsidRPr="00DE1BD4" w:rsidRDefault="00BD66D4" w:rsidP="002A2980">
      <w:r w:rsidRPr="00DE1BD4">
        <w:t>T</w:t>
      </w:r>
      <w:r w:rsidR="0024738F">
        <w:t>he Gambia</w:t>
      </w:r>
      <w:r w:rsidR="00CD7A02" w:rsidRPr="00DE1BD4">
        <w:t xml:space="preserve"> is exposed to a range of different hazards, including floods, heavy storms, droughts, dry spells, strong winds</w:t>
      </w:r>
      <w:r w:rsidR="0060688C" w:rsidRPr="00DE1BD4">
        <w:t xml:space="preserve"> and cyclones</w:t>
      </w:r>
      <w:r w:rsidR="00CD7A02" w:rsidRPr="00DE1BD4">
        <w:t xml:space="preserve">, epidemics, </w:t>
      </w:r>
      <w:r w:rsidR="003B51FE" w:rsidRPr="00DE1BD4">
        <w:t>wild</w:t>
      </w:r>
      <w:r w:rsidR="00CD7A02" w:rsidRPr="00DE1BD4">
        <w:t xml:space="preserve">fires, and to a lesser extent, landslides, and earthquakes. The most common, nonetheless, are weather-related hazards, </w:t>
      </w:r>
      <w:r w:rsidR="002A640B" w:rsidRPr="00DE1BD4">
        <w:t xml:space="preserve">such as flooding and droughts, </w:t>
      </w:r>
      <w:r w:rsidR="00CD7A02" w:rsidRPr="00DE1BD4">
        <w:t xml:space="preserve">which are becoming more frequent and less predictable </w:t>
      </w:r>
      <w:r w:rsidR="00E77563" w:rsidRPr="00DE1BD4">
        <w:t>because of</w:t>
      </w:r>
      <w:r w:rsidR="00CD7A02" w:rsidRPr="00DE1BD4">
        <w:t xml:space="preserve"> climate change</w:t>
      </w:r>
      <w:r w:rsidR="00B93972" w:rsidRPr="00DE1BD4">
        <w:t xml:space="preserve">.  </w:t>
      </w:r>
    </w:p>
    <w:p w14:paraId="373B38E2" w14:textId="189B4AB5" w:rsidR="002A2980" w:rsidRDefault="004325FC" w:rsidP="002A2980">
      <w:r w:rsidRPr="00DE1BD4">
        <w:t>Between 19</w:t>
      </w:r>
      <w:r w:rsidR="0060213D">
        <w:t>1</w:t>
      </w:r>
      <w:r w:rsidR="004850C0">
        <w:t>0</w:t>
      </w:r>
      <w:r w:rsidRPr="00DE1BD4">
        <w:t xml:space="preserve"> and 202</w:t>
      </w:r>
      <w:r w:rsidR="00F426D6">
        <w:t>4</w:t>
      </w:r>
      <w:r w:rsidRPr="00DE1BD4">
        <w:t xml:space="preserve">, </w:t>
      </w:r>
      <w:r w:rsidR="0060213D">
        <w:t>The Gambia</w:t>
      </w:r>
      <w:r w:rsidRPr="00DE1BD4">
        <w:t xml:space="preserve"> has experienced </w:t>
      </w:r>
      <w:r w:rsidR="0060213D">
        <w:t>3</w:t>
      </w:r>
      <w:r w:rsidR="00F426D6">
        <w:t>1</w:t>
      </w:r>
      <w:r w:rsidRPr="00DE1BD4">
        <w:t xml:space="preserve"> disasters</w:t>
      </w:r>
      <w:r w:rsidR="008964D7" w:rsidRPr="00DE1BD4">
        <w:t xml:space="preserve">, the majority </w:t>
      </w:r>
      <w:r w:rsidRPr="00DE1BD4">
        <w:t>produced by natural hazards, with floods being the most common type (</w:t>
      </w:r>
      <w:r w:rsidR="00891C09">
        <w:t>11</w:t>
      </w:r>
      <w:r w:rsidRPr="00DE1BD4">
        <w:t xml:space="preserve">), followed by </w:t>
      </w:r>
      <w:r w:rsidR="00C613EC">
        <w:t>drought</w:t>
      </w:r>
      <w:r w:rsidRPr="00DE1BD4">
        <w:t xml:space="preserve"> (</w:t>
      </w:r>
      <w:r w:rsidR="00891C09">
        <w:t>9</w:t>
      </w:r>
      <w:r w:rsidRPr="00DE1BD4">
        <w:t>)</w:t>
      </w:r>
      <w:r w:rsidR="00891C09">
        <w:t xml:space="preserve"> and</w:t>
      </w:r>
      <w:r w:rsidRPr="00DE1BD4">
        <w:t xml:space="preserve"> </w:t>
      </w:r>
      <w:r w:rsidR="00891C09">
        <w:t>storms</w:t>
      </w:r>
      <w:r w:rsidR="00891C09" w:rsidRPr="00DE1BD4">
        <w:t xml:space="preserve"> (</w:t>
      </w:r>
      <w:r w:rsidR="00EE3DD3">
        <w:t>6</w:t>
      </w:r>
      <w:r w:rsidR="00891C09" w:rsidRPr="00DE1BD4">
        <w:t>)</w:t>
      </w:r>
      <w:r w:rsidR="00891C09">
        <w:t>.</w:t>
      </w:r>
      <w:r w:rsidR="00891C09" w:rsidRPr="00DE1BD4">
        <w:t xml:space="preserve"> </w:t>
      </w:r>
      <w:r w:rsidRPr="00DE1BD4">
        <w:t xml:space="preserve">These disasters have caused the death of </w:t>
      </w:r>
      <w:r w:rsidR="00F215E3">
        <w:t xml:space="preserve">over </w:t>
      </w:r>
      <w:r w:rsidR="000E6130">
        <w:t>400</w:t>
      </w:r>
      <w:r w:rsidRPr="00DE1BD4">
        <w:t xml:space="preserve"> people in total, </w:t>
      </w:r>
      <w:r w:rsidR="00A24F42" w:rsidRPr="00DE1BD4">
        <w:t>more than</w:t>
      </w:r>
      <w:r w:rsidRPr="00DE1BD4">
        <w:t xml:space="preserve"> half </w:t>
      </w:r>
      <w:r w:rsidR="000209FB" w:rsidRPr="00DE1BD4">
        <w:t>because of</w:t>
      </w:r>
      <w:r w:rsidRPr="00DE1BD4">
        <w:t xml:space="preserve"> </w:t>
      </w:r>
      <w:r w:rsidR="008C6245">
        <w:t>epidemics</w:t>
      </w:r>
      <w:r w:rsidRPr="00DE1BD4">
        <w:t>.</w:t>
      </w:r>
      <w:r w:rsidR="005C5435" w:rsidRPr="00DE1BD4">
        <w:t xml:space="preserve"> </w:t>
      </w:r>
      <w:r w:rsidR="005C5435" w:rsidRPr="00DE1BD4">
        <w:fldChar w:fldCharType="begin"/>
      </w:r>
      <w:r w:rsidR="005C5435" w:rsidRPr="00DE1BD4">
        <w:instrText xml:space="preserve"> REF _Ref168299924 \h </w:instrText>
      </w:r>
      <w:r w:rsidR="005C5435" w:rsidRPr="00DE1BD4">
        <w:fldChar w:fldCharType="separate"/>
      </w:r>
      <w:r w:rsidR="005C5435" w:rsidRPr="00DE1BD4">
        <w:t>Table 2</w:t>
      </w:r>
      <w:r w:rsidR="005C5435" w:rsidRPr="00DE1BD4">
        <w:fldChar w:fldCharType="end"/>
      </w:r>
      <w:r w:rsidR="005C5435" w:rsidRPr="00DE1BD4">
        <w:t xml:space="preserve"> below provides a summary of </w:t>
      </w:r>
      <w:r w:rsidR="006C7A9D" w:rsidRPr="00DE1BD4">
        <w:t xml:space="preserve">natural hazards faced by </w:t>
      </w:r>
      <w:r w:rsidR="00F215E3">
        <w:t>T</w:t>
      </w:r>
      <w:r w:rsidR="000E6130">
        <w:t>he Gambia</w:t>
      </w:r>
      <w:r w:rsidR="00B918E5" w:rsidRPr="00DE1BD4">
        <w:t>.</w:t>
      </w:r>
    </w:p>
    <w:p w14:paraId="05D1952C" w14:textId="32478B71" w:rsidR="00F215E3" w:rsidRPr="00DE1BD4" w:rsidRDefault="00F215E3" w:rsidP="00F215E3">
      <w:pPr>
        <w:rPr>
          <w:lang w:eastAsia="en-AU"/>
        </w:rPr>
      </w:pPr>
      <w:r w:rsidRPr="00DE1BD4">
        <w:rPr>
          <w:lang w:eastAsia="en-AU"/>
        </w:rPr>
        <w:t xml:space="preserve">However, </w:t>
      </w:r>
      <w:r w:rsidR="001A4B4F">
        <w:rPr>
          <w:lang w:eastAsia="en-AU"/>
        </w:rPr>
        <w:t>it is likely that</w:t>
      </w:r>
      <w:r w:rsidRPr="00DE1BD4">
        <w:rPr>
          <w:lang w:eastAsia="en-AU"/>
        </w:rPr>
        <w:t xml:space="preserve"> due to climate change </w:t>
      </w:r>
      <w:r w:rsidR="001A4B4F">
        <w:rPr>
          <w:lang w:eastAsia="en-AU"/>
        </w:rPr>
        <w:t>there is a higher possibility of more d</w:t>
      </w:r>
      <w:r w:rsidR="00D06620">
        <w:rPr>
          <w:lang w:eastAsia="en-AU"/>
        </w:rPr>
        <w:t xml:space="preserve">amaging events such as </w:t>
      </w:r>
      <w:r w:rsidRPr="00DE1BD4">
        <w:rPr>
          <w:lang w:eastAsia="en-AU"/>
        </w:rPr>
        <w:t>the impacts of cyclones which bring larger storm surges and more rain, coupled with sea-level rise and coastal flooding and inundation events in the future.</w:t>
      </w:r>
    </w:p>
    <w:p w14:paraId="465A88FE" w14:textId="16FDE007" w:rsidR="00B5376E" w:rsidRPr="00DE1BD4" w:rsidRDefault="00B5376E" w:rsidP="00B5376E">
      <w:pPr>
        <w:pStyle w:val="Caption"/>
        <w:jc w:val="center"/>
      </w:pPr>
      <w:bookmarkStart w:id="179" w:name="_Ref168299924"/>
      <w:bookmarkStart w:id="180" w:name="_Toc181885856"/>
      <w:r w:rsidRPr="00DE1BD4">
        <w:t xml:space="preserve">Table </w:t>
      </w:r>
      <w:r w:rsidRPr="00DE1BD4">
        <w:fldChar w:fldCharType="begin"/>
      </w:r>
      <w:r w:rsidRPr="00DE1BD4">
        <w:instrText xml:space="preserve"> SEQ Table \* ARABIC </w:instrText>
      </w:r>
      <w:r w:rsidRPr="00DE1BD4">
        <w:fldChar w:fldCharType="separate"/>
      </w:r>
      <w:r w:rsidR="001317F1">
        <w:rPr>
          <w:noProof/>
        </w:rPr>
        <w:t>3</w:t>
      </w:r>
      <w:r w:rsidRPr="00DE1BD4">
        <w:fldChar w:fldCharType="end"/>
      </w:r>
      <w:bookmarkEnd w:id="179"/>
      <w:r w:rsidRPr="00DE1BD4">
        <w:t xml:space="preserve"> – Natural Disaster in </w:t>
      </w:r>
      <w:r w:rsidR="000E6C3A">
        <w:t>T</w:t>
      </w:r>
      <w:r w:rsidR="0024738F">
        <w:t>he Gambia</w:t>
      </w:r>
      <w:r w:rsidRPr="00DE1BD4">
        <w:t xml:space="preserve"> 19</w:t>
      </w:r>
      <w:r w:rsidR="000E6C3A">
        <w:t>2</w:t>
      </w:r>
      <w:r w:rsidR="00470FAC" w:rsidRPr="00DE1BD4">
        <w:t>0</w:t>
      </w:r>
      <w:r w:rsidRPr="00DE1BD4">
        <w:t xml:space="preserve"> - 202</w:t>
      </w:r>
      <w:r w:rsidR="00B27854">
        <w:t>4</w:t>
      </w:r>
      <w:r w:rsidR="00D71D0A" w:rsidRPr="0045782B">
        <w:rPr>
          <w:rStyle w:val="FootnoteReference"/>
        </w:rPr>
        <w:footnoteReference w:id="50"/>
      </w:r>
      <w:bookmarkEnd w:id="180"/>
    </w:p>
    <w:p w14:paraId="71EAEC52" w14:textId="2334F25E" w:rsidR="00E46E88" w:rsidRPr="00DE1BD4" w:rsidRDefault="00E554D9" w:rsidP="00261D31">
      <w:pPr>
        <w:jc w:val="center"/>
      </w:pPr>
      <w:r w:rsidRPr="00E554D9">
        <w:rPr>
          <w:noProof/>
        </w:rPr>
        <w:drawing>
          <wp:inline distT="0" distB="0" distL="0" distR="0" wp14:anchorId="17AB9712" wp14:editId="5A3AF77A">
            <wp:extent cx="5329555" cy="2357755"/>
            <wp:effectExtent l="0" t="0" r="4445" b="4445"/>
            <wp:docPr id="118495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9555" cy="2357755"/>
                    </a:xfrm>
                    <a:prstGeom prst="rect">
                      <a:avLst/>
                    </a:prstGeom>
                    <a:noFill/>
                    <a:ln>
                      <a:noFill/>
                    </a:ln>
                  </pic:spPr>
                </pic:pic>
              </a:graphicData>
            </a:graphic>
          </wp:inline>
        </w:drawing>
      </w:r>
    </w:p>
    <w:p w14:paraId="3EDC7AB9" w14:textId="6B4937D2" w:rsidR="00E714A7" w:rsidRPr="00DE1BD4" w:rsidRDefault="00E714A7" w:rsidP="008F033B">
      <w:pPr>
        <w:pStyle w:val="Heading3"/>
      </w:pPr>
      <w:bookmarkStart w:id="181" w:name="_Toc181885794"/>
      <w:bookmarkStart w:id="182" w:name="_Toc91172634"/>
      <w:bookmarkStart w:id="183" w:name="_Toc91185521"/>
      <w:bookmarkStart w:id="184" w:name="_Toc89458127"/>
      <w:r w:rsidRPr="00DE1BD4">
        <w:t>Flood</w:t>
      </w:r>
      <w:bookmarkEnd w:id="181"/>
    </w:p>
    <w:p w14:paraId="6A681ACC" w14:textId="3720408E" w:rsidR="00E714A7" w:rsidRPr="00DE1BD4" w:rsidRDefault="00D67E76" w:rsidP="00E714A7">
      <w:r w:rsidRPr="00DE1BD4">
        <w:t xml:space="preserve">Floods in </w:t>
      </w:r>
      <w:r w:rsidR="00FE2611">
        <w:t>The Gambia</w:t>
      </w:r>
      <w:r w:rsidRPr="00DE1BD4">
        <w:t xml:space="preserve"> </w:t>
      </w:r>
      <w:r w:rsidR="00EA0263">
        <w:t>e</w:t>
      </w:r>
      <w:r w:rsidR="00EA0263" w:rsidRPr="00DE1BD4">
        <w:t>ffect</w:t>
      </w:r>
      <w:r w:rsidRPr="00DE1BD4">
        <w:t xml:space="preserve"> </w:t>
      </w:r>
      <w:r w:rsidR="0024405E">
        <w:t>on average app</w:t>
      </w:r>
      <w:r w:rsidRPr="00DE1BD4">
        <w:t xml:space="preserve">roximately </w:t>
      </w:r>
      <w:r w:rsidR="001B36BB">
        <w:t>7</w:t>
      </w:r>
      <w:r w:rsidR="00EC345C">
        <w:t>,0</w:t>
      </w:r>
      <w:r w:rsidRPr="00DE1BD4">
        <w:t>00 people every year</w:t>
      </w:r>
      <w:r w:rsidR="00ED22AA" w:rsidRPr="00DE1BD4">
        <w:t>, with the i</w:t>
      </w:r>
      <w:r w:rsidR="001320F9" w:rsidRPr="00DE1BD4">
        <w:t>m</w:t>
      </w:r>
      <w:r w:rsidR="00ED22AA" w:rsidRPr="00DE1BD4">
        <w:t xml:space="preserve">pact felt </w:t>
      </w:r>
      <w:r w:rsidR="00D25C9A">
        <w:t>along the western coast and river mouth</w:t>
      </w:r>
      <w:r w:rsidR="00ED22AA" w:rsidRPr="00DE1BD4">
        <w:t>.</w:t>
      </w:r>
      <w:r w:rsidR="0031142C" w:rsidRPr="00DE1BD4">
        <w:t xml:space="preserve"> Floods are driven by climate </w:t>
      </w:r>
      <w:r w:rsidR="00393EE9" w:rsidRPr="00DE1BD4">
        <w:t>change,</w:t>
      </w:r>
      <w:r w:rsidR="0031142C" w:rsidRPr="00DE1BD4">
        <w:t xml:space="preserve"> and </w:t>
      </w:r>
      <w:r w:rsidR="00F67C94">
        <w:t>it is likely that flood events will occur with increasing frequency</w:t>
      </w:r>
      <w:r w:rsidR="00425732" w:rsidRPr="0045782B">
        <w:rPr>
          <w:rStyle w:val="FootnoteReference"/>
        </w:rPr>
        <w:footnoteReference w:id="51"/>
      </w:r>
      <w:r w:rsidR="00FF7079" w:rsidRPr="00DE1BD4">
        <w:t xml:space="preserve">.  </w:t>
      </w:r>
      <w:r w:rsidR="00393EE9">
        <w:t>A</w:t>
      </w:r>
      <w:r w:rsidR="00EA0263">
        <w:t>s</w:t>
      </w:r>
      <w:r w:rsidR="00393EE9">
        <w:t xml:space="preserve"> this increases the expected losses to both the economy and the impact to the population will increase in proportion.</w:t>
      </w:r>
    </w:p>
    <w:p w14:paraId="3BC4228D" w14:textId="3AF2249F" w:rsidR="00E714A7" w:rsidRPr="00DE1BD4" w:rsidRDefault="00E714A7" w:rsidP="008F033B">
      <w:pPr>
        <w:pStyle w:val="Heading3"/>
      </w:pPr>
      <w:bookmarkStart w:id="185" w:name="_Toc181885795"/>
      <w:r w:rsidRPr="00DE1BD4">
        <w:t>Drought</w:t>
      </w:r>
      <w:bookmarkEnd w:id="185"/>
    </w:p>
    <w:p w14:paraId="67F81B8C" w14:textId="34E5F144" w:rsidR="002C758B" w:rsidRPr="00DE1BD4" w:rsidRDefault="00953677" w:rsidP="00953677">
      <w:r w:rsidRPr="00DE1BD4">
        <w:t>Due to the low precipitation rate, drought is a common disaster</w:t>
      </w:r>
      <w:r w:rsidR="00DE07DD" w:rsidRPr="00DE1BD4">
        <w:t xml:space="preserve"> experienced in </w:t>
      </w:r>
      <w:r w:rsidR="00BD51EF">
        <w:t>T</w:t>
      </w:r>
      <w:r w:rsidR="009676E6">
        <w:t>he Gambia</w:t>
      </w:r>
      <w:r w:rsidR="00DE07DD" w:rsidRPr="00DE1BD4">
        <w:t xml:space="preserve">. </w:t>
      </w:r>
      <w:r w:rsidR="009327B5" w:rsidRPr="00DE1BD4">
        <w:t xml:space="preserve">Drought </w:t>
      </w:r>
      <w:r w:rsidR="00AA7525" w:rsidRPr="00DE1BD4">
        <w:t>impacts</w:t>
      </w:r>
      <w:r w:rsidR="009327B5" w:rsidRPr="00DE1BD4">
        <w:t xml:space="preserve"> more people than</w:t>
      </w:r>
      <w:r w:rsidR="00A740CA">
        <w:t xml:space="preserve"> all other disasters</w:t>
      </w:r>
      <w:r w:rsidR="00641F59">
        <w:t xml:space="preserve"> (</w:t>
      </w:r>
      <w:r w:rsidR="00E5425F">
        <w:t xml:space="preserve">on average </w:t>
      </w:r>
      <w:r w:rsidR="00003CC3">
        <w:t>350,000</w:t>
      </w:r>
      <w:r w:rsidR="00E5425F">
        <w:t xml:space="preserve"> people per year</w:t>
      </w:r>
      <w:r w:rsidR="00FF4545">
        <w:t>)</w:t>
      </w:r>
      <w:r w:rsidR="00286399" w:rsidRPr="00DE1BD4">
        <w:t>, not only from the inability to produce agricultural products, but the impact that a drought can have on food security</w:t>
      </w:r>
      <w:r w:rsidR="00003CC3" w:rsidRPr="0045782B">
        <w:rPr>
          <w:rStyle w:val="FootnoteReference"/>
        </w:rPr>
        <w:footnoteReference w:id="52"/>
      </w:r>
      <w:r w:rsidR="00286399" w:rsidRPr="00DE1BD4">
        <w:t>.</w:t>
      </w:r>
      <w:r w:rsidR="0079622F" w:rsidRPr="0079622F">
        <w:t xml:space="preserve"> </w:t>
      </w:r>
      <w:r w:rsidR="0079622F" w:rsidRPr="00DE1BD4">
        <w:t>Drought does have a long period of establishment and once breaks can roll into a flood disaster due to dry ground and the inability of water to drain away.</w:t>
      </w:r>
    </w:p>
    <w:p w14:paraId="29405FF1" w14:textId="7D4373BB" w:rsidR="00AB1F8A" w:rsidRPr="00DE1BD4" w:rsidRDefault="00AB1F8A" w:rsidP="00C528FF">
      <w:pPr>
        <w:pStyle w:val="Heading2"/>
      </w:pPr>
      <w:bookmarkStart w:id="186" w:name="_ihv636"/>
      <w:bookmarkStart w:id="187" w:name="_32hioqz"/>
      <w:bookmarkStart w:id="188" w:name="_41mghml"/>
      <w:bookmarkStart w:id="189" w:name="_Ref36735213"/>
      <w:bookmarkStart w:id="190" w:name="_Toc90825848"/>
      <w:bookmarkStart w:id="191" w:name="_Toc90825980"/>
      <w:bookmarkStart w:id="192" w:name="_Toc91172629"/>
      <w:bookmarkStart w:id="193" w:name="_Toc91185516"/>
      <w:bookmarkStart w:id="194" w:name="_Toc181885796"/>
      <w:bookmarkEnd w:id="182"/>
      <w:bookmarkEnd w:id="183"/>
      <w:bookmarkEnd w:id="184"/>
      <w:bookmarkEnd w:id="186"/>
      <w:bookmarkEnd w:id="187"/>
      <w:bookmarkEnd w:id="188"/>
      <w:r w:rsidRPr="00DE1BD4">
        <w:t>Vulnerability Maps</w:t>
      </w:r>
      <w:bookmarkEnd w:id="189"/>
      <w:bookmarkEnd w:id="190"/>
      <w:bookmarkEnd w:id="191"/>
      <w:bookmarkEnd w:id="192"/>
      <w:bookmarkEnd w:id="193"/>
      <w:bookmarkEnd w:id="194"/>
    </w:p>
    <w:p w14:paraId="20A742F8" w14:textId="181A08BB" w:rsidR="00DE49D7" w:rsidRPr="00DE1BD4" w:rsidRDefault="00AD4A9D" w:rsidP="00DE49D7">
      <w:pPr>
        <w:rPr>
          <w:rFonts w:asciiTheme="minorHAnsi" w:hAnsiTheme="minorHAnsi" w:cstheme="minorHAnsi"/>
          <w:shd w:val="clear" w:color="auto" w:fill="FAFAFA"/>
        </w:rPr>
      </w:pPr>
      <w:r w:rsidRPr="00DE1BD4">
        <w:rPr>
          <w:rFonts w:asciiTheme="minorHAnsi" w:hAnsiTheme="minorHAnsi" w:cstheme="minorHAnsi"/>
          <w:shd w:val="clear" w:color="auto" w:fill="FAFAFA"/>
        </w:rPr>
        <w:t xml:space="preserve">There does not appear to be a centralised </w:t>
      </w:r>
      <w:r w:rsidR="004D7519" w:rsidRPr="00DE1BD4">
        <w:rPr>
          <w:rFonts w:asciiTheme="minorHAnsi" w:hAnsiTheme="minorHAnsi" w:cstheme="minorHAnsi"/>
          <w:shd w:val="clear" w:color="auto" w:fill="FAFAFA"/>
        </w:rPr>
        <w:t>owner of this information, which is critical for the various sectors to be able to contingency planning on critical infrastructure in areas of known high hazard</w:t>
      </w:r>
      <w:r w:rsidR="00D11235" w:rsidRPr="00DE1BD4">
        <w:rPr>
          <w:rFonts w:asciiTheme="minorHAnsi" w:hAnsiTheme="minorHAnsi" w:cstheme="minorHAnsi"/>
          <w:shd w:val="clear" w:color="auto" w:fill="FAFAFA"/>
        </w:rPr>
        <w:t xml:space="preserve">s. </w:t>
      </w:r>
      <w:r w:rsidR="00DE49D7" w:rsidRPr="00DE1BD4">
        <w:rPr>
          <w:rFonts w:asciiTheme="minorHAnsi" w:hAnsiTheme="minorHAnsi" w:cstheme="minorHAnsi"/>
          <w:shd w:val="clear" w:color="auto" w:fill="FAFAFA"/>
        </w:rPr>
        <w:t>Nevertheless, the</w:t>
      </w:r>
      <w:r w:rsidR="00D11235" w:rsidRPr="00DE1BD4">
        <w:rPr>
          <w:rFonts w:asciiTheme="minorHAnsi" w:hAnsiTheme="minorHAnsi" w:cstheme="minorHAnsi"/>
          <w:shd w:val="clear" w:color="auto" w:fill="FAFAFA"/>
        </w:rPr>
        <w:t>re has been</w:t>
      </w:r>
      <w:r w:rsidR="00DE49D7" w:rsidRPr="00DE1BD4">
        <w:rPr>
          <w:rFonts w:asciiTheme="minorHAnsi" w:hAnsiTheme="minorHAnsi" w:cstheme="minorHAnsi"/>
          <w:shd w:val="clear" w:color="auto" w:fill="FAFAFA"/>
        </w:rPr>
        <w:t xml:space="preserve"> work produced </w:t>
      </w:r>
      <w:r w:rsidR="00D11235" w:rsidRPr="00DE1BD4">
        <w:rPr>
          <w:rFonts w:asciiTheme="minorHAnsi" w:hAnsiTheme="minorHAnsi" w:cstheme="minorHAnsi"/>
          <w:shd w:val="clear" w:color="auto" w:fill="FAFAFA"/>
        </w:rPr>
        <w:t xml:space="preserve">on </w:t>
      </w:r>
      <w:r w:rsidR="00DE49D7" w:rsidRPr="00DE1BD4">
        <w:rPr>
          <w:rFonts w:asciiTheme="minorHAnsi" w:hAnsiTheme="minorHAnsi" w:cstheme="minorHAnsi"/>
          <w:shd w:val="clear" w:color="auto" w:fill="FAFAFA"/>
        </w:rPr>
        <w:t xml:space="preserve">many </w:t>
      </w:r>
      <w:r w:rsidR="00A57FE2" w:rsidRPr="00DE1BD4">
        <w:rPr>
          <w:rFonts w:asciiTheme="minorHAnsi" w:hAnsiTheme="minorHAnsi" w:cstheme="minorHAnsi"/>
          <w:shd w:val="clear" w:color="auto" w:fill="FAFAFA"/>
        </w:rPr>
        <w:t xml:space="preserve">models and </w:t>
      </w:r>
      <w:r w:rsidR="00DE49D7" w:rsidRPr="00DE1BD4">
        <w:rPr>
          <w:rFonts w:asciiTheme="minorHAnsi" w:hAnsiTheme="minorHAnsi" w:cstheme="minorHAnsi"/>
          <w:shd w:val="clear" w:color="auto" w:fill="FAFAFA"/>
        </w:rPr>
        <w:t xml:space="preserve">hazard-specific maps </w:t>
      </w:r>
      <w:r w:rsidR="00D11235" w:rsidRPr="00DE1BD4">
        <w:rPr>
          <w:rFonts w:asciiTheme="minorHAnsi" w:hAnsiTheme="minorHAnsi" w:cstheme="minorHAnsi"/>
          <w:shd w:val="clear" w:color="auto" w:fill="FAFAFA"/>
        </w:rPr>
        <w:t xml:space="preserve">for </w:t>
      </w:r>
      <w:r w:rsidR="005B5306">
        <w:rPr>
          <w:rFonts w:asciiTheme="minorHAnsi" w:hAnsiTheme="minorHAnsi" w:cstheme="minorHAnsi"/>
          <w:shd w:val="clear" w:color="auto" w:fill="FAFAFA"/>
        </w:rPr>
        <w:t>The Gambia</w:t>
      </w:r>
      <w:r w:rsidR="002E2264" w:rsidRPr="0045782B">
        <w:rPr>
          <w:rStyle w:val="FootnoteReference"/>
        </w:rPr>
        <w:footnoteReference w:id="53"/>
      </w:r>
      <w:r w:rsidR="00D11235" w:rsidRPr="00DE1BD4">
        <w:rPr>
          <w:rFonts w:asciiTheme="minorHAnsi" w:hAnsiTheme="minorHAnsi" w:cstheme="minorHAnsi"/>
          <w:shd w:val="clear" w:color="auto" w:fill="FAFAFA"/>
        </w:rPr>
        <w:t xml:space="preserve">, however the detail and ability to overlay other maps onto them </w:t>
      </w:r>
      <w:r w:rsidR="0058329D">
        <w:rPr>
          <w:rFonts w:asciiTheme="minorHAnsi" w:hAnsiTheme="minorHAnsi" w:cstheme="minorHAnsi"/>
          <w:shd w:val="clear" w:color="auto" w:fill="FAFAFA"/>
        </w:rPr>
        <w:t>is</w:t>
      </w:r>
      <w:r w:rsidR="00D11235" w:rsidRPr="00DE1BD4">
        <w:rPr>
          <w:rFonts w:asciiTheme="minorHAnsi" w:hAnsiTheme="minorHAnsi" w:cstheme="minorHAnsi"/>
          <w:shd w:val="clear" w:color="auto" w:fill="FAFAFA"/>
        </w:rPr>
        <w:t xml:space="preserve"> limited</w:t>
      </w:r>
      <w:r w:rsidR="00DE49D7" w:rsidRPr="00DE1BD4">
        <w:rPr>
          <w:rFonts w:asciiTheme="minorHAnsi" w:hAnsiTheme="minorHAnsi" w:cstheme="minorHAnsi"/>
          <w:shd w:val="clear" w:color="auto" w:fill="FAFAFA"/>
        </w:rPr>
        <w:t>.</w:t>
      </w:r>
    </w:p>
    <w:p w14:paraId="69395335" w14:textId="2EBC0A70" w:rsidR="00136326" w:rsidRPr="00DE1BD4" w:rsidRDefault="00136326" w:rsidP="00DE49D7">
      <w:pPr>
        <w:rPr>
          <w:rFonts w:asciiTheme="minorHAnsi" w:hAnsiTheme="minorHAnsi" w:cstheme="minorHAnsi"/>
          <w:shd w:val="clear" w:color="auto" w:fill="FAFAFA"/>
        </w:rPr>
      </w:pPr>
      <w:r w:rsidRPr="00DE1BD4">
        <w:rPr>
          <w:rFonts w:asciiTheme="minorHAnsi" w:hAnsiTheme="minorHAnsi" w:cstheme="minorHAnsi"/>
          <w:shd w:val="clear" w:color="auto" w:fill="FAFAFA"/>
        </w:rPr>
        <w:t xml:space="preserve">For example, </w:t>
      </w:r>
      <w:r w:rsidR="00A57FE2" w:rsidRPr="00DE1BD4">
        <w:rPr>
          <w:rFonts w:asciiTheme="minorHAnsi" w:hAnsiTheme="minorHAnsi" w:cstheme="minorHAnsi"/>
          <w:shd w:val="clear" w:color="auto" w:fill="FAFAFA"/>
        </w:rPr>
        <w:fldChar w:fldCharType="begin"/>
      </w:r>
      <w:r w:rsidR="00A57FE2" w:rsidRPr="00DE1BD4">
        <w:rPr>
          <w:rFonts w:asciiTheme="minorHAnsi" w:hAnsiTheme="minorHAnsi" w:cstheme="minorHAnsi"/>
          <w:shd w:val="clear" w:color="auto" w:fill="FAFAFA"/>
        </w:rPr>
        <w:instrText xml:space="preserve"> REF _Ref128685954 \h </w:instrText>
      </w:r>
      <w:r w:rsidR="00A57FE2" w:rsidRPr="00DE1BD4">
        <w:rPr>
          <w:rFonts w:asciiTheme="minorHAnsi" w:hAnsiTheme="minorHAnsi" w:cstheme="minorHAnsi"/>
          <w:shd w:val="clear" w:color="auto" w:fill="FAFAFA"/>
        </w:rPr>
      </w:r>
      <w:r w:rsidR="00A57FE2" w:rsidRPr="00DE1BD4">
        <w:rPr>
          <w:rFonts w:asciiTheme="minorHAnsi" w:hAnsiTheme="minorHAnsi" w:cstheme="minorHAnsi"/>
          <w:shd w:val="clear" w:color="auto" w:fill="FAFAFA"/>
        </w:rPr>
        <w:fldChar w:fldCharType="separate"/>
      </w:r>
      <w:r w:rsidR="00BE0A79" w:rsidRPr="00DE1BD4">
        <w:t xml:space="preserve">Figure </w:t>
      </w:r>
      <w:r w:rsidR="00BE0A79">
        <w:rPr>
          <w:noProof/>
        </w:rPr>
        <w:t>4</w:t>
      </w:r>
      <w:r w:rsidR="00A57FE2" w:rsidRPr="00DE1BD4">
        <w:rPr>
          <w:rFonts w:asciiTheme="minorHAnsi" w:hAnsiTheme="minorHAnsi" w:cstheme="minorHAnsi"/>
          <w:shd w:val="clear" w:color="auto" w:fill="FAFAFA"/>
        </w:rPr>
        <w:fldChar w:fldCharType="end"/>
      </w:r>
      <w:r w:rsidR="00A57FE2" w:rsidRPr="00DE1BD4">
        <w:rPr>
          <w:rFonts w:asciiTheme="minorHAnsi" w:hAnsiTheme="minorHAnsi" w:cstheme="minorHAnsi"/>
          <w:shd w:val="clear" w:color="auto" w:fill="FAFAFA"/>
        </w:rPr>
        <w:t xml:space="preserve"> </w:t>
      </w:r>
      <w:r w:rsidR="00A57FE2" w:rsidRPr="00DE1BD4">
        <w:rPr>
          <w:rFonts w:asciiTheme="minorHAnsi" w:hAnsiTheme="minorHAnsi" w:cstheme="minorHAnsi"/>
          <w:shd w:val="clear" w:color="auto" w:fill="FAFAFA"/>
        </w:rPr>
        <w:fldChar w:fldCharType="begin"/>
      </w:r>
      <w:r w:rsidR="00A57FE2" w:rsidRPr="00DE1BD4">
        <w:rPr>
          <w:rFonts w:asciiTheme="minorHAnsi" w:hAnsiTheme="minorHAnsi" w:cstheme="minorHAnsi"/>
          <w:shd w:val="clear" w:color="auto" w:fill="FAFAFA"/>
        </w:rPr>
        <w:instrText xml:space="preserve"> REF _Ref128685955 \p \h </w:instrText>
      </w:r>
      <w:r w:rsidR="00A57FE2" w:rsidRPr="00DE1BD4">
        <w:rPr>
          <w:rFonts w:asciiTheme="minorHAnsi" w:hAnsiTheme="minorHAnsi" w:cstheme="minorHAnsi"/>
          <w:shd w:val="clear" w:color="auto" w:fill="FAFAFA"/>
        </w:rPr>
      </w:r>
      <w:r w:rsidR="00A57FE2" w:rsidRPr="00DE1BD4">
        <w:rPr>
          <w:rFonts w:asciiTheme="minorHAnsi" w:hAnsiTheme="minorHAnsi" w:cstheme="minorHAnsi"/>
          <w:shd w:val="clear" w:color="auto" w:fill="FAFAFA"/>
        </w:rPr>
        <w:fldChar w:fldCharType="separate"/>
      </w:r>
      <w:r w:rsidR="00C566EA" w:rsidRPr="00DE1BD4">
        <w:rPr>
          <w:rFonts w:asciiTheme="minorHAnsi" w:hAnsiTheme="minorHAnsi" w:cstheme="minorHAnsi"/>
          <w:shd w:val="clear" w:color="auto" w:fill="FAFAFA"/>
        </w:rPr>
        <w:t>below</w:t>
      </w:r>
      <w:r w:rsidR="00A57FE2" w:rsidRPr="00DE1BD4">
        <w:rPr>
          <w:rFonts w:asciiTheme="minorHAnsi" w:hAnsiTheme="minorHAnsi" w:cstheme="minorHAnsi"/>
          <w:shd w:val="clear" w:color="auto" w:fill="FAFAFA"/>
        </w:rPr>
        <w:fldChar w:fldCharType="end"/>
      </w:r>
      <w:r w:rsidR="00A57FE2" w:rsidRPr="00DE1BD4">
        <w:rPr>
          <w:rFonts w:asciiTheme="minorHAnsi" w:hAnsiTheme="minorHAnsi" w:cstheme="minorHAnsi"/>
          <w:shd w:val="clear" w:color="auto" w:fill="FAFAFA"/>
        </w:rPr>
        <w:t xml:space="preserve"> shows the </w:t>
      </w:r>
      <w:r w:rsidR="00383741">
        <w:rPr>
          <w:rFonts w:asciiTheme="minorHAnsi" w:hAnsiTheme="minorHAnsi" w:cstheme="minorHAnsi"/>
          <w:shd w:val="clear" w:color="auto" w:fill="FAFAFA"/>
        </w:rPr>
        <w:t>hazard</w:t>
      </w:r>
      <w:r w:rsidR="00990D63" w:rsidRPr="00DE1BD4">
        <w:rPr>
          <w:rFonts w:asciiTheme="minorHAnsi" w:hAnsiTheme="minorHAnsi" w:cstheme="minorHAnsi"/>
          <w:shd w:val="clear" w:color="auto" w:fill="FAFAFA"/>
        </w:rPr>
        <w:t xml:space="preserve"> map for </w:t>
      </w:r>
      <w:r w:rsidR="00C91604">
        <w:rPr>
          <w:rFonts w:asciiTheme="minorHAnsi" w:hAnsiTheme="minorHAnsi" w:cstheme="minorHAnsi"/>
          <w:shd w:val="clear" w:color="auto" w:fill="FAFAFA"/>
        </w:rPr>
        <w:t xml:space="preserve">river </w:t>
      </w:r>
      <w:r w:rsidR="0058329D">
        <w:rPr>
          <w:rFonts w:asciiTheme="minorHAnsi" w:hAnsiTheme="minorHAnsi" w:cstheme="minorHAnsi"/>
          <w:shd w:val="clear" w:color="auto" w:fill="FAFAFA"/>
        </w:rPr>
        <w:t>floods</w:t>
      </w:r>
      <w:r w:rsidR="00990D63" w:rsidRPr="00DE1BD4">
        <w:rPr>
          <w:rFonts w:asciiTheme="minorHAnsi" w:hAnsiTheme="minorHAnsi" w:cstheme="minorHAnsi"/>
          <w:shd w:val="clear" w:color="auto" w:fill="FAFAFA"/>
        </w:rPr>
        <w:t xml:space="preserve"> in </w:t>
      </w:r>
      <w:r w:rsidR="00030454">
        <w:rPr>
          <w:rFonts w:asciiTheme="minorHAnsi" w:hAnsiTheme="minorHAnsi" w:cstheme="minorHAnsi"/>
          <w:shd w:val="clear" w:color="auto" w:fill="FAFAFA"/>
        </w:rPr>
        <w:t>T</w:t>
      </w:r>
      <w:r w:rsidR="0058329D">
        <w:rPr>
          <w:rFonts w:asciiTheme="minorHAnsi" w:hAnsiTheme="minorHAnsi" w:cstheme="minorHAnsi"/>
          <w:shd w:val="clear" w:color="auto" w:fill="FAFAFA"/>
        </w:rPr>
        <w:t>he Gambia</w:t>
      </w:r>
      <w:r w:rsidR="00A57FE2" w:rsidRPr="00DE1BD4">
        <w:rPr>
          <w:rFonts w:asciiTheme="minorHAnsi" w:hAnsiTheme="minorHAnsi" w:cstheme="minorHAnsi"/>
          <w:shd w:val="clear" w:color="auto" w:fill="FAFAFA"/>
        </w:rPr>
        <w:t>.</w:t>
      </w:r>
    </w:p>
    <w:p w14:paraId="0381BD0C" w14:textId="0839EC03" w:rsidR="00DE49D7" w:rsidRPr="00DE1BD4" w:rsidRDefault="00DE49D7" w:rsidP="00DE49D7">
      <w:pPr>
        <w:pStyle w:val="Caption"/>
        <w:jc w:val="center"/>
      </w:pPr>
      <w:bookmarkStart w:id="195" w:name="_Ref128685954"/>
      <w:bookmarkStart w:id="196" w:name="_Ref128685955"/>
      <w:bookmarkStart w:id="197" w:name="_Toc181885866"/>
      <w:r w:rsidRPr="00DE1BD4">
        <w:t xml:space="preserve">Figure </w:t>
      </w:r>
      <w:r w:rsidRPr="00DE1BD4">
        <w:fldChar w:fldCharType="begin"/>
      </w:r>
      <w:r w:rsidRPr="00DE1BD4">
        <w:instrText xml:space="preserve"> SEQ Figure \* ARABIC </w:instrText>
      </w:r>
      <w:r w:rsidRPr="00DE1BD4">
        <w:fldChar w:fldCharType="separate"/>
      </w:r>
      <w:r w:rsidR="003F405A">
        <w:rPr>
          <w:noProof/>
        </w:rPr>
        <w:t>4</w:t>
      </w:r>
      <w:r w:rsidRPr="00DE1BD4">
        <w:fldChar w:fldCharType="end"/>
      </w:r>
      <w:bookmarkEnd w:id="195"/>
      <w:r w:rsidRPr="00DE1BD4">
        <w:t xml:space="preserve"> </w:t>
      </w:r>
      <w:r w:rsidR="001D3829" w:rsidRPr="00DE1BD4">
        <w:t>–</w:t>
      </w:r>
      <w:r w:rsidRPr="00DE1BD4">
        <w:t xml:space="preserve"> </w:t>
      </w:r>
      <w:r w:rsidR="00492BDA">
        <w:t xml:space="preserve">The Gambia </w:t>
      </w:r>
      <w:r w:rsidR="00FE5A00">
        <w:t xml:space="preserve">River </w:t>
      </w:r>
      <w:r w:rsidR="00492BDA">
        <w:t>Flood</w:t>
      </w:r>
      <w:r w:rsidR="001D3829" w:rsidRPr="00DE1BD4">
        <w:t xml:space="preserve"> </w:t>
      </w:r>
      <w:r w:rsidR="00383741">
        <w:t>Hazard</w:t>
      </w:r>
      <w:r w:rsidR="001D3829" w:rsidRPr="00DE1BD4">
        <w:t xml:space="preserve"> Map</w:t>
      </w:r>
      <w:bookmarkEnd w:id="196"/>
      <w:r w:rsidR="00C71B90" w:rsidRPr="0045782B">
        <w:rPr>
          <w:rStyle w:val="FootnoteReference"/>
        </w:rPr>
        <w:footnoteReference w:id="54"/>
      </w:r>
      <w:bookmarkEnd w:id="197"/>
    </w:p>
    <w:p w14:paraId="233E3952" w14:textId="62F5DC5C" w:rsidR="00DE49D7" w:rsidRPr="00DE1BD4" w:rsidRDefault="00464B44" w:rsidP="001D3829">
      <w:pPr>
        <w:jc w:val="center"/>
      </w:pPr>
      <w:r w:rsidRPr="00464B44">
        <w:rPr>
          <w:noProof/>
        </w:rPr>
        <w:drawing>
          <wp:inline distT="0" distB="0" distL="0" distR="0" wp14:anchorId="0D13AE0F" wp14:editId="1C77ACBC">
            <wp:extent cx="3761115" cy="3536571"/>
            <wp:effectExtent l="0" t="0" r="0" b="6985"/>
            <wp:docPr id="388916269"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16269" name="Picture 1" descr="A map of the country&#10;&#10;Description automatically generated"/>
                    <pic:cNvPicPr/>
                  </pic:nvPicPr>
                  <pic:blipFill>
                    <a:blip r:embed="rId28"/>
                    <a:stretch>
                      <a:fillRect/>
                    </a:stretch>
                  </pic:blipFill>
                  <pic:spPr>
                    <a:xfrm>
                      <a:off x="0" y="0"/>
                      <a:ext cx="3797825" cy="3571089"/>
                    </a:xfrm>
                    <a:prstGeom prst="rect">
                      <a:avLst/>
                    </a:prstGeom>
                  </pic:spPr>
                </pic:pic>
              </a:graphicData>
            </a:graphic>
          </wp:inline>
        </w:drawing>
      </w:r>
    </w:p>
    <w:bookmarkStart w:id="198" w:name="_4f1mdlm"/>
    <w:bookmarkStart w:id="199" w:name="_Toc90811233"/>
    <w:bookmarkStart w:id="200" w:name="_Toc90811404"/>
    <w:bookmarkStart w:id="201" w:name="_Toc90817075"/>
    <w:bookmarkStart w:id="202" w:name="_Toc90817381"/>
    <w:bookmarkStart w:id="203" w:name="_Toc90825103"/>
    <w:bookmarkStart w:id="204" w:name="_Toc90825245"/>
    <w:bookmarkStart w:id="205" w:name="_Toc90825413"/>
    <w:bookmarkStart w:id="206" w:name="_Toc90825555"/>
    <w:bookmarkStart w:id="207" w:name="_Toc90825849"/>
    <w:bookmarkEnd w:id="198"/>
    <w:bookmarkEnd w:id="199"/>
    <w:bookmarkEnd w:id="200"/>
    <w:bookmarkEnd w:id="201"/>
    <w:bookmarkEnd w:id="202"/>
    <w:bookmarkEnd w:id="203"/>
    <w:bookmarkEnd w:id="204"/>
    <w:bookmarkEnd w:id="205"/>
    <w:bookmarkEnd w:id="206"/>
    <w:bookmarkEnd w:id="207"/>
    <w:p w14:paraId="7EAB92C2" w14:textId="21E31267" w:rsidR="00B01808" w:rsidRPr="00DE1BD4" w:rsidRDefault="00DC5BB5" w:rsidP="00DE49D7">
      <w:r w:rsidRPr="00DE1BD4">
        <w:fldChar w:fldCharType="begin"/>
      </w:r>
      <w:r w:rsidRPr="00DE1BD4">
        <w:instrText xml:space="preserve"> REF _Ref138173964 \h </w:instrText>
      </w:r>
      <w:r w:rsidRPr="00DE1BD4">
        <w:fldChar w:fldCharType="separate"/>
      </w:r>
      <w:r w:rsidR="00BE0A79" w:rsidRPr="00DE1BD4">
        <w:t xml:space="preserve">Figure </w:t>
      </w:r>
      <w:r w:rsidR="00BE0A79">
        <w:rPr>
          <w:noProof/>
        </w:rPr>
        <w:t>5</w:t>
      </w:r>
      <w:r w:rsidRPr="00DE1BD4">
        <w:fldChar w:fldCharType="end"/>
      </w:r>
      <w:r w:rsidRPr="00DE1BD4">
        <w:t xml:space="preserve"> </w:t>
      </w:r>
      <w:r w:rsidRPr="00DE1BD4">
        <w:fldChar w:fldCharType="begin"/>
      </w:r>
      <w:r w:rsidRPr="00DE1BD4">
        <w:instrText xml:space="preserve"> REF _Ref138173965 \p \h </w:instrText>
      </w:r>
      <w:r w:rsidRPr="00DE1BD4">
        <w:fldChar w:fldCharType="separate"/>
      </w:r>
      <w:r w:rsidR="00C566EA" w:rsidRPr="00DE1BD4">
        <w:t>below</w:t>
      </w:r>
      <w:r w:rsidRPr="00DE1BD4">
        <w:fldChar w:fldCharType="end"/>
      </w:r>
      <w:r w:rsidRPr="00DE1BD4">
        <w:t xml:space="preserve"> </w:t>
      </w:r>
      <w:r w:rsidR="00196627" w:rsidRPr="00DE1BD4">
        <w:t xml:space="preserve">shows </w:t>
      </w:r>
      <w:r w:rsidR="00085127" w:rsidRPr="00DE1BD4">
        <w:t xml:space="preserve">the hazard map for </w:t>
      </w:r>
      <w:r w:rsidR="00C71B90">
        <w:t>drought</w:t>
      </w:r>
      <w:r w:rsidR="00B01808" w:rsidRPr="00DE1BD4">
        <w:t>.</w:t>
      </w:r>
    </w:p>
    <w:p w14:paraId="172A205A" w14:textId="6EFE32E6" w:rsidR="00B01808" w:rsidRPr="00DE1BD4" w:rsidRDefault="00B01808" w:rsidP="00B01808">
      <w:pPr>
        <w:pStyle w:val="Caption"/>
        <w:jc w:val="center"/>
      </w:pPr>
      <w:bookmarkStart w:id="208" w:name="_Ref138173964"/>
      <w:bookmarkStart w:id="209" w:name="_Ref138173965"/>
      <w:bookmarkStart w:id="210" w:name="_Toc181885867"/>
      <w:r w:rsidRPr="00DE1BD4">
        <w:t xml:space="preserve">Figure </w:t>
      </w:r>
      <w:r w:rsidRPr="00DE1BD4">
        <w:fldChar w:fldCharType="begin"/>
      </w:r>
      <w:r w:rsidRPr="00DE1BD4">
        <w:instrText xml:space="preserve"> SEQ Figure \* ARABIC </w:instrText>
      </w:r>
      <w:r w:rsidRPr="00DE1BD4">
        <w:fldChar w:fldCharType="separate"/>
      </w:r>
      <w:r w:rsidR="003F405A">
        <w:rPr>
          <w:noProof/>
        </w:rPr>
        <w:t>5</w:t>
      </w:r>
      <w:r w:rsidRPr="00DE1BD4">
        <w:fldChar w:fldCharType="end"/>
      </w:r>
      <w:bookmarkEnd w:id="208"/>
      <w:r w:rsidRPr="00DE1BD4">
        <w:t xml:space="preserve"> </w:t>
      </w:r>
      <w:r w:rsidR="005E6A04" w:rsidRPr="00DE1BD4">
        <w:t>–</w:t>
      </w:r>
      <w:r w:rsidRPr="00DE1BD4">
        <w:t xml:space="preserve"> </w:t>
      </w:r>
      <w:r w:rsidR="006E7312">
        <w:t>T</w:t>
      </w:r>
      <w:r w:rsidR="00BA7D86">
        <w:t xml:space="preserve">he Gambia Drought </w:t>
      </w:r>
      <w:r w:rsidR="00383741">
        <w:t>Hazard</w:t>
      </w:r>
      <w:r w:rsidR="005E6A04" w:rsidRPr="00DE1BD4">
        <w:t xml:space="preserve"> Map</w:t>
      </w:r>
      <w:bookmarkEnd w:id="209"/>
      <w:r w:rsidR="00F90E8A" w:rsidRPr="0045782B">
        <w:rPr>
          <w:rStyle w:val="FootnoteReference"/>
        </w:rPr>
        <w:footnoteReference w:id="55"/>
      </w:r>
      <w:bookmarkEnd w:id="210"/>
    </w:p>
    <w:p w14:paraId="3A7AC4AF" w14:textId="560793B3" w:rsidR="00AF2002" w:rsidRPr="00DE1BD4" w:rsidRDefault="005548EB" w:rsidP="00F247E5">
      <w:pPr>
        <w:jc w:val="center"/>
      </w:pPr>
      <w:bookmarkStart w:id="211" w:name="_Toc90811236"/>
      <w:bookmarkStart w:id="212" w:name="_Toc90811407"/>
      <w:bookmarkStart w:id="213" w:name="_Toc90817078"/>
      <w:bookmarkStart w:id="214" w:name="_Toc90817384"/>
      <w:bookmarkStart w:id="215" w:name="_Toc90825106"/>
      <w:bookmarkStart w:id="216" w:name="_Toc90825248"/>
      <w:bookmarkStart w:id="217" w:name="_Toc90825416"/>
      <w:bookmarkStart w:id="218" w:name="_Toc90825558"/>
      <w:bookmarkStart w:id="219" w:name="_Toc90825852"/>
      <w:bookmarkStart w:id="220" w:name="_Hlk116846122"/>
      <w:bookmarkStart w:id="221" w:name="_Toc90825853"/>
      <w:bookmarkStart w:id="222" w:name="_Toc90825984"/>
      <w:bookmarkStart w:id="223" w:name="_Toc91172639"/>
      <w:bookmarkStart w:id="224" w:name="_Toc91185526"/>
      <w:bookmarkEnd w:id="211"/>
      <w:bookmarkEnd w:id="212"/>
      <w:bookmarkEnd w:id="213"/>
      <w:bookmarkEnd w:id="214"/>
      <w:bookmarkEnd w:id="215"/>
      <w:bookmarkEnd w:id="216"/>
      <w:bookmarkEnd w:id="217"/>
      <w:bookmarkEnd w:id="218"/>
      <w:bookmarkEnd w:id="219"/>
      <w:r>
        <w:rPr>
          <w:noProof/>
        </w:rPr>
        <w:drawing>
          <wp:inline distT="0" distB="0" distL="0" distR="0" wp14:anchorId="621FC654" wp14:editId="0A4E0612">
            <wp:extent cx="3871595" cy="3527011"/>
            <wp:effectExtent l="0" t="0" r="0" b="0"/>
            <wp:docPr id="174810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7646" cy="3550743"/>
                    </a:xfrm>
                    <a:prstGeom prst="rect">
                      <a:avLst/>
                    </a:prstGeom>
                    <a:noFill/>
                  </pic:spPr>
                </pic:pic>
              </a:graphicData>
            </a:graphic>
          </wp:inline>
        </w:drawing>
      </w:r>
    </w:p>
    <w:p w14:paraId="5677CA61" w14:textId="4E3BF34A" w:rsidR="00260DA9" w:rsidRPr="00DE1BD4" w:rsidRDefault="00990D63" w:rsidP="00260DA9">
      <w:r w:rsidRPr="00DE1BD4">
        <w:t xml:space="preserve">This significance of such modelling and mapping of hazards </w:t>
      </w:r>
      <w:r w:rsidR="00444EB9" w:rsidRPr="00DE1BD4">
        <w:t xml:space="preserve">is </w:t>
      </w:r>
      <w:r w:rsidRPr="00DE1BD4">
        <w:t xml:space="preserve">clear </w:t>
      </w:r>
      <w:r w:rsidR="00444EB9" w:rsidRPr="00DE1BD4">
        <w:t xml:space="preserve">and the </w:t>
      </w:r>
      <w:r w:rsidR="00254128" w:rsidRPr="00DE1BD4">
        <w:t>lack</w:t>
      </w:r>
      <w:r w:rsidR="00444EB9" w:rsidRPr="00DE1BD4">
        <w:t xml:space="preserve"> of </w:t>
      </w:r>
      <w:r w:rsidR="008D2942" w:rsidRPr="00DE1BD4">
        <w:t xml:space="preserve">multi hazard vulnerability analysis </w:t>
      </w:r>
      <w:r w:rsidR="00BF3848">
        <w:t>leads to a gap in understanding the impacts of natural disasters</w:t>
      </w:r>
      <w:r w:rsidR="003A4F5A" w:rsidRPr="00DE1BD4">
        <w:t xml:space="preserve">. Vulnerability analysis and the understanding of hazards is also </w:t>
      </w:r>
      <w:r w:rsidR="00B04FEC" w:rsidRPr="00DE1BD4">
        <w:t>P</w:t>
      </w:r>
      <w:r w:rsidR="003A4F5A" w:rsidRPr="00DE1BD4">
        <w:t>ill</w:t>
      </w:r>
      <w:r w:rsidR="00F91AFE" w:rsidRPr="00DE1BD4">
        <w:t>a</w:t>
      </w:r>
      <w:r w:rsidR="003A4F5A" w:rsidRPr="00DE1BD4">
        <w:t>r</w:t>
      </w:r>
      <w:r w:rsidR="00B04FEC" w:rsidRPr="00DE1BD4">
        <w:t xml:space="preserve"> 1</w:t>
      </w:r>
      <w:r w:rsidR="003A4F5A" w:rsidRPr="00DE1BD4">
        <w:t xml:space="preserve"> </w:t>
      </w:r>
      <w:r w:rsidR="009240A0" w:rsidRPr="00DE1BD4">
        <w:t>of the UN Early Warning for All initiat</w:t>
      </w:r>
      <w:r w:rsidR="00E44FE9" w:rsidRPr="00DE1BD4">
        <w:t>ive</w:t>
      </w:r>
      <w:r w:rsidR="00B04FEC" w:rsidRPr="0045782B">
        <w:rPr>
          <w:rStyle w:val="FootnoteReference"/>
        </w:rPr>
        <w:footnoteReference w:id="56"/>
      </w:r>
      <w:r w:rsidRPr="00DE1BD4">
        <w:t>.</w:t>
      </w:r>
      <w:r w:rsidR="00260DA9" w:rsidRPr="00260DA9">
        <w:t xml:space="preserve"> </w:t>
      </w:r>
      <w:r w:rsidR="00260DA9" w:rsidRPr="00DE1BD4">
        <w:t>Early identification of infrastructure located in hazard zones is critical to building resilience.</w:t>
      </w:r>
    </w:p>
    <w:p w14:paraId="06CC6FEC" w14:textId="75613B5B" w:rsidR="00990D63" w:rsidRPr="00600B10" w:rsidRDefault="00814677" w:rsidP="00814677">
      <w:pPr>
        <w:pStyle w:val="Heading2"/>
      </w:pPr>
      <w:bookmarkStart w:id="225" w:name="_Toc181885797"/>
      <w:r w:rsidRPr="00600B10">
        <w:t>Critical Infrastructure Vulnerability</w:t>
      </w:r>
      <w:r w:rsidR="000768A7" w:rsidRPr="00600B10">
        <w:t xml:space="preserve"> Analysis</w:t>
      </w:r>
      <w:bookmarkEnd w:id="225"/>
    </w:p>
    <w:p w14:paraId="1A64F9D9" w14:textId="50B4464E" w:rsidR="000768A7" w:rsidRPr="00DE1BD4" w:rsidRDefault="00206501" w:rsidP="000768A7">
      <w:r w:rsidRPr="00DE1BD4">
        <w:t>In a similar manner to hazard vulnerability analysis, t</w:t>
      </w:r>
      <w:r w:rsidR="000768A7" w:rsidRPr="00DE1BD4">
        <w:t xml:space="preserve">elecom/ICT network operators and service providers in </w:t>
      </w:r>
      <w:r w:rsidR="00BB67A7" w:rsidRPr="00DE1BD4">
        <w:t>T</w:t>
      </w:r>
      <w:r w:rsidR="00E554D9">
        <w:t>he Gambia</w:t>
      </w:r>
      <w:r w:rsidR="000768A7" w:rsidRPr="00DE1BD4">
        <w:t xml:space="preserve"> must develop and present a vulnerability analysis of the critical infrastructure of their networks, including coverage maps of their networks, based on risk maps of the different hazards</w:t>
      </w:r>
      <w:r w:rsidRPr="00DE1BD4">
        <w:t xml:space="preserve"> as outlined earlier.</w:t>
      </w:r>
    </w:p>
    <w:p w14:paraId="71043FA1" w14:textId="66D466D5" w:rsidR="000768A7" w:rsidRPr="00DE1BD4" w:rsidRDefault="000768A7" w:rsidP="000768A7">
      <w:r w:rsidRPr="00DE1BD4">
        <w:t xml:space="preserve">Understanding how exactly and to what extent infrastructure assets are likely to be affected by climate change or natural disasters requires a thorough engineering analysis of </w:t>
      </w:r>
      <w:r w:rsidR="009359EC" w:rsidRPr="00DE1BD4">
        <w:t xml:space="preserve">infrastructure impacts from a </w:t>
      </w:r>
      <w:r w:rsidR="00BB67A7" w:rsidRPr="00DE1BD4">
        <w:t>specific event.</w:t>
      </w:r>
      <w:r w:rsidRPr="00DE1BD4">
        <w:t xml:space="preserve"> </w:t>
      </w:r>
    </w:p>
    <w:p w14:paraId="4B09F022" w14:textId="32422002" w:rsidR="000768A7" w:rsidRPr="00DE1BD4" w:rsidRDefault="009359EC" w:rsidP="000768A7">
      <w:r w:rsidRPr="00DE1BD4">
        <w:t xml:space="preserve">In general, </w:t>
      </w:r>
      <w:r w:rsidR="000768A7" w:rsidRPr="00DE1BD4">
        <w:fldChar w:fldCharType="begin"/>
      </w:r>
      <w:r w:rsidR="000768A7" w:rsidRPr="00DE1BD4">
        <w:instrText xml:space="preserve"> REF _Ref115335810 \h </w:instrText>
      </w:r>
      <w:r w:rsidR="000768A7" w:rsidRPr="00DE1BD4">
        <w:fldChar w:fldCharType="separate"/>
      </w:r>
      <w:r w:rsidR="00823BD4" w:rsidRPr="00DE1BD4">
        <w:t>Table 3</w:t>
      </w:r>
      <w:r w:rsidR="000768A7" w:rsidRPr="00DE1BD4">
        <w:fldChar w:fldCharType="end"/>
      </w:r>
      <w:r w:rsidR="000768A7" w:rsidRPr="00DE1BD4">
        <w:t xml:space="preserve"> </w:t>
      </w:r>
      <w:r w:rsidR="000768A7" w:rsidRPr="00DE1BD4">
        <w:fldChar w:fldCharType="begin"/>
      </w:r>
      <w:r w:rsidR="000768A7" w:rsidRPr="00DE1BD4">
        <w:instrText xml:space="preserve"> REF _Ref115335813 \p \h </w:instrText>
      </w:r>
      <w:r w:rsidR="000768A7" w:rsidRPr="00DE1BD4">
        <w:fldChar w:fldCharType="separate"/>
      </w:r>
      <w:r w:rsidR="000768A7" w:rsidRPr="00DE1BD4">
        <w:t>below</w:t>
      </w:r>
      <w:r w:rsidR="000768A7" w:rsidRPr="00DE1BD4">
        <w:fldChar w:fldCharType="end"/>
      </w:r>
      <w:r w:rsidR="000768A7" w:rsidRPr="00DE1BD4">
        <w:t xml:space="preserve"> shows a World Bank assessment of the potential impact of climatic events on telecommunications infrastructure.</w:t>
      </w:r>
    </w:p>
    <w:p w14:paraId="574E30E0" w14:textId="72A3E1B9" w:rsidR="000768A7" w:rsidRPr="00DE1BD4" w:rsidRDefault="000768A7" w:rsidP="000768A7">
      <w:pPr>
        <w:pStyle w:val="Caption"/>
        <w:jc w:val="center"/>
        <w:rPr>
          <w:rFonts w:ascii="Lato" w:hAnsi="Lato"/>
          <w:color w:val="112E51"/>
        </w:rPr>
      </w:pPr>
      <w:bookmarkStart w:id="226" w:name="_Ref115335810"/>
      <w:bookmarkStart w:id="227" w:name="_Ref115335813"/>
      <w:bookmarkStart w:id="228" w:name="_Toc181885857"/>
      <w:r w:rsidRPr="00DE1BD4">
        <w:t xml:space="preserve">Table </w:t>
      </w:r>
      <w:r w:rsidRPr="00DE1BD4">
        <w:fldChar w:fldCharType="begin"/>
      </w:r>
      <w:r w:rsidRPr="00DE1BD4">
        <w:instrText xml:space="preserve"> SEQ Table \* ARABIC </w:instrText>
      </w:r>
      <w:r w:rsidRPr="00DE1BD4">
        <w:fldChar w:fldCharType="separate"/>
      </w:r>
      <w:r w:rsidR="001317F1">
        <w:rPr>
          <w:noProof/>
        </w:rPr>
        <w:t>4</w:t>
      </w:r>
      <w:r w:rsidRPr="00DE1BD4">
        <w:fldChar w:fldCharType="end"/>
      </w:r>
      <w:bookmarkEnd w:id="226"/>
      <w:r w:rsidRPr="00DE1BD4">
        <w:t xml:space="preserve"> - Hazard Effects on Telecommunications Infrastructure</w:t>
      </w:r>
      <w:r w:rsidRPr="0045782B">
        <w:rPr>
          <w:rStyle w:val="FootnoteReference"/>
        </w:rPr>
        <w:footnoteReference w:id="57"/>
      </w:r>
      <w:bookmarkEnd w:id="227"/>
      <w:bookmarkEnd w:id="228"/>
    </w:p>
    <w:p w14:paraId="6DB5EA1F" w14:textId="77777777" w:rsidR="000768A7" w:rsidRPr="00DE1BD4" w:rsidRDefault="000768A7" w:rsidP="000768A7">
      <w:pPr>
        <w:pStyle w:val="NormalWeb"/>
        <w:shd w:val="clear" w:color="auto" w:fill="FFFFFF"/>
        <w:spacing w:line="432" w:lineRule="atLeast"/>
        <w:jc w:val="center"/>
        <w:rPr>
          <w:rFonts w:ascii="Lato" w:hAnsi="Lato"/>
          <w:color w:val="112E51"/>
          <w:sz w:val="20"/>
          <w:szCs w:val="20"/>
        </w:rPr>
      </w:pPr>
      <w:r w:rsidRPr="00DE1BD4">
        <w:rPr>
          <w:rFonts w:ascii="Lato" w:hAnsi="Lato"/>
          <w:noProof/>
          <w:color w:val="112E51"/>
        </w:rPr>
        <w:drawing>
          <wp:inline distT="0" distB="0" distL="0" distR="0" wp14:anchorId="7130AED7" wp14:editId="44F5B54B">
            <wp:extent cx="5731510" cy="2284730"/>
            <wp:effectExtent l="19050" t="19050" r="21590" b="20320"/>
            <wp:docPr id="1"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text on i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solidFill>
                        <a:schemeClr val="accent1"/>
                      </a:solidFill>
                    </a:ln>
                  </pic:spPr>
                </pic:pic>
              </a:graphicData>
            </a:graphic>
          </wp:inline>
        </w:drawing>
      </w:r>
      <w:r w:rsidRPr="00DE1BD4">
        <w:rPr>
          <w:rFonts w:ascii="Calibri" w:eastAsia="Calibri" w:hAnsi="Calibri" w:cs="Calibri"/>
          <w:i/>
          <w:iCs/>
          <w:sz w:val="20"/>
          <w:szCs w:val="20"/>
        </w:rPr>
        <w:t>Note</w:t>
      </w:r>
      <w:r w:rsidRPr="00DE1BD4">
        <w:rPr>
          <w:rFonts w:ascii="Calibri" w:eastAsia="Calibri" w:hAnsi="Calibri" w:cs="Calibri"/>
          <w:sz w:val="20"/>
          <w:szCs w:val="20"/>
        </w:rPr>
        <w:t>: H: High; M: Medium; L: Low.</w:t>
      </w:r>
    </w:p>
    <w:p w14:paraId="76E3A4EA" w14:textId="77777777" w:rsidR="000768A7" w:rsidRPr="00DE1BD4" w:rsidRDefault="000768A7" w:rsidP="000768A7">
      <w:pPr>
        <w:autoSpaceDE w:val="0"/>
        <w:autoSpaceDN w:val="0"/>
        <w:adjustRightInd w:val="0"/>
        <w:spacing w:after="0" w:line="240" w:lineRule="auto"/>
      </w:pPr>
      <w:r w:rsidRPr="00DE1BD4">
        <w:t xml:space="preserve">Landing stations are particularly vulnerable to flooding because of the large quantities of ICT equipment involved in their operations. As a result, submarine cable landing stations are the most vulnerable to a rise in sea level. </w:t>
      </w:r>
    </w:p>
    <w:p w14:paraId="163A9661" w14:textId="77777777" w:rsidR="000768A7" w:rsidRPr="00DE1BD4" w:rsidRDefault="000768A7" w:rsidP="000768A7">
      <w:pPr>
        <w:autoSpaceDE w:val="0"/>
        <w:autoSpaceDN w:val="0"/>
        <w:adjustRightInd w:val="0"/>
        <w:spacing w:after="0" w:line="240" w:lineRule="auto"/>
      </w:pPr>
    </w:p>
    <w:p w14:paraId="0B37A7E5" w14:textId="7E7C2F90" w:rsidR="000768A7" w:rsidRPr="00DE1BD4" w:rsidRDefault="000768A7" w:rsidP="000768A7">
      <w:pPr>
        <w:autoSpaceDE w:val="0"/>
        <w:autoSpaceDN w:val="0"/>
        <w:adjustRightInd w:val="0"/>
        <w:spacing w:after="0" w:line="240" w:lineRule="auto"/>
      </w:pPr>
      <w:r w:rsidRPr="00DE1BD4">
        <w:t>There is an average of over a hundred breaks of submarine cables every year</w:t>
      </w:r>
      <w:r w:rsidRPr="00DE1BD4">
        <w:rPr>
          <w:shd w:val="clear" w:color="auto" w:fill="FFFFFF"/>
        </w:rPr>
        <w:t xml:space="preserve">, sometimes because of earthquakes or tsunamis, </w:t>
      </w:r>
      <w:r w:rsidR="00206501" w:rsidRPr="00DE1BD4">
        <w:rPr>
          <w:shd w:val="clear" w:color="auto" w:fill="FFFFFF"/>
        </w:rPr>
        <w:t>many</w:t>
      </w:r>
      <w:r w:rsidRPr="00DE1BD4">
        <w:rPr>
          <w:shd w:val="clear" w:color="auto" w:fill="FFFFFF"/>
        </w:rPr>
        <w:t xml:space="preserve"> caused by events other than natural hazards. Fishing trawlers or ships dropping anchor can damage the cables and account for about two thirds of all subsea cable breaks</w:t>
      </w:r>
      <w:r w:rsidRPr="0045782B">
        <w:rPr>
          <w:rStyle w:val="FootnoteReference"/>
        </w:rPr>
        <w:footnoteReference w:id="58"/>
      </w:r>
      <w:r w:rsidRPr="00DE1BD4">
        <w:t xml:space="preserve">. </w:t>
      </w:r>
    </w:p>
    <w:p w14:paraId="30936ABC" w14:textId="77777777" w:rsidR="00F84B07" w:rsidRPr="00DE1BD4" w:rsidRDefault="00F84B07" w:rsidP="000768A7">
      <w:pPr>
        <w:autoSpaceDE w:val="0"/>
        <w:autoSpaceDN w:val="0"/>
        <w:adjustRightInd w:val="0"/>
        <w:spacing w:after="0" w:line="240" w:lineRule="auto"/>
      </w:pPr>
    </w:p>
    <w:p w14:paraId="1AC167B9" w14:textId="16071FB8" w:rsidR="00F84B07" w:rsidRPr="00DE1BD4" w:rsidRDefault="00F84B07" w:rsidP="000768A7">
      <w:pPr>
        <w:autoSpaceDE w:val="0"/>
        <w:autoSpaceDN w:val="0"/>
        <w:adjustRightInd w:val="0"/>
        <w:spacing w:after="0" w:line="240" w:lineRule="auto"/>
        <w:rPr>
          <w:shd w:val="clear" w:color="auto" w:fill="FFFFFF"/>
        </w:rPr>
      </w:pPr>
      <w:r w:rsidRPr="00DE1BD4">
        <w:t xml:space="preserve">The most recent break of the </w:t>
      </w:r>
      <w:r w:rsidR="007D4444">
        <w:t xml:space="preserve">ACE, </w:t>
      </w:r>
      <w:r w:rsidR="00B37761">
        <w:t xml:space="preserve">West Coast of Africa (WACS) </w:t>
      </w:r>
      <w:proofErr w:type="spellStart"/>
      <w:r w:rsidR="00B37761">
        <w:t>MainOne</w:t>
      </w:r>
      <w:proofErr w:type="spellEnd"/>
      <w:r w:rsidR="00B37761">
        <w:t xml:space="preserve"> and Sat3</w:t>
      </w:r>
      <w:r w:rsidR="00B37761" w:rsidRPr="0045782B">
        <w:rPr>
          <w:rStyle w:val="FootnoteReference"/>
        </w:rPr>
        <w:footnoteReference w:id="59"/>
      </w:r>
      <w:r w:rsidR="00372550" w:rsidRPr="00DE1BD4">
        <w:t xml:space="preserve"> and the impact these breaks had</w:t>
      </w:r>
      <w:r w:rsidR="00C93D1A" w:rsidRPr="00DE1BD4">
        <w:t xml:space="preserve"> on countries including T</w:t>
      </w:r>
      <w:r w:rsidR="002C7F24">
        <w:t>he Gambia</w:t>
      </w:r>
      <w:r w:rsidR="00C93D1A" w:rsidRPr="00DE1BD4">
        <w:t>, highlights the importance of understanding the vulnerability of this critical infrastructure and what actions can be taken to mitigate or recover from the impact quickly.</w:t>
      </w:r>
    </w:p>
    <w:p w14:paraId="2C79BAA0" w14:textId="570E2A9E" w:rsidR="00AA7525" w:rsidRPr="00DE1BD4" w:rsidRDefault="006C3843" w:rsidP="00BB67A7">
      <w:pPr>
        <w:spacing w:before="240"/>
        <w:rPr>
          <w:b/>
          <w:bCs/>
          <w:i/>
          <w:iCs/>
        </w:rPr>
      </w:pPr>
      <w:r w:rsidRPr="00DE1BD4">
        <w:rPr>
          <w:b/>
          <w:bCs/>
          <w:i/>
          <w:iCs/>
        </w:rPr>
        <w:t xml:space="preserve">Implementation Task </w:t>
      </w:r>
      <w:r w:rsidR="00AE5AE4" w:rsidRPr="00DE1BD4">
        <w:rPr>
          <w:b/>
          <w:bCs/>
          <w:i/>
          <w:iCs/>
        </w:rPr>
        <w:t>5</w:t>
      </w:r>
    </w:p>
    <w:p w14:paraId="27AE47A1" w14:textId="2D22E188" w:rsidR="001F0F66" w:rsidRPr="00DE1BD4" w:rsidRDefault="001F0F66" w:rsidP="00AF2002">
      <w:r w:rsidRPr="00DE1BD4">
        <w:rPr>
          <w:i/>
          <w:iCs/>
        </w:rPr>
        <w:t>Maintaining and ensuring hazard maps for the different types of hazards</w:t>
      </w:r>
      <w:r w:rsidR="00495AB5" w:rsidRPr="00DE1BD4">
        <w:rPr>
          <w:i/>
          <w:iCs/>
        </w:rPr>
        <w:t xml:space="preserve"> that</w:t>
      </w:r>
      <w:r w:rsidRPr="00DE1BD4">
        <w:rPr>
          <w:i/>
          <w:iCs/>
        </w:rPr>
        <w:t xml:space="preserve"> exist is an essential contributor to disaster planning and the development of mitigation strategies. </w:t>
      </w:r>
    </w:p>
    <w:p w14:paraId="3F28F5AC" w14:textId="3197E604" w:rsidR="00C32DE4" w:rsidRPr="00DE1BD4" w:rsidRDefault="003E1A6E" w:rsidP="00963CF3">
      <w:pPr>
        <w:pStyle w:val="ListParagraph"/>
        <w:numPr>
          <w:ilvl w:val="0"/>
          <w:numId w:val="34"/>
        </w:numPr>
        <w:rPr>
          <w:i/>
          <w:iCs/>
        </w:rPr>
      </w:pPr>
      <w:r w:rsidRPr="000A2127">
        <w:rPr>
          <w:i/>
          <w:iCs/>
        </w:rPr>
        <w:t xml:space="preserve">The </w:t>
      </w:r>
      <w:r w:rsidR="00692BD4">
        <w:rPr>
          <w:i/>
          <w:iCs/>
        </w:rPr>
        <w:t>NDMA</w:t>
      </w:r>
      <w:r w:rsidRPr="00DE1BD4">
        <w:rPr>
          <w:i/>
          <w:iCs/>
        </w:rPr>
        <w:t xml:space="preserve"> should lead</w:t>
      </w:r>
      <w:r w:rsidR="00463A8D" w:rsidRPr="00DE1BD4">
        <w:rPr>
          <w:i/>
          <w:iCs/>
        </w:rPr>
        <w:t>, develop</w:t>
      </w:r>
      <w:r w:rsidRPr="00DE1BD4">
        <w:rPr>
          <w:i/>
          <w:iCs/>
        </w:rPr>
        <w:t xml:space="preserve"> and approve updated vulnerability maps for the different types of hazards, and especially those related to droughts, floods, and epidemics developed and maintained by the relevant agencies involved in assessing and monitoring natural hazards in </w:t>
      </w:r>
      <w:r w:rsidR="00A949BB">
        <w:rPr>
          <w:i/>
          <w:iCs/>
        </w:rPr>
        <w:t>T</w:t>
      </w:r>
      <w:r w:rsidR="002C7F24">
        <w:rPr>
          <w:i/>
          <w:iCs/>
        </w:rPr>
        <w:t>he Gambia</w:t>
      </w:r>
      <w:r w:rsidRPr="00DE1BD4">
        <w:rPr>
          <w:i/>
          <w:iCs/>
        </w:rPr>
        <w:t>.</w:t>
      </w:r>
    </w:p>
    <w:p w14:paraId="3B672CEB" w14:textId="660DEC23" w:rsidR="001F0F66" w:rsidRPr="00DE1BD4" w:rsidRDefault="003E1A6E" w:rsidP="00963CF3">
      <w:pPr>
        <w:pStyle w:val="ListParagraph"/>
        <w:numPr>
          <w:ilvl w:val="0"/>
          <w:numId w:val="34"/>
        </w:numPr>
        <w:rPr>
          <w:i/>
          <w:iCs/>
        </w:rPr>
      </w:pPr>
      <w:r w:rsidRPr="00DE1BD4">
        <w:rPr>
          <w:i/>
          <w:iCs/>
        </w:rPr>
        <w:t>This information must be described at the municipal level and be available to telecom/ICT operators. It should also include information on the most vulnerable communities, specifying the type of hazards they are prone to, as well as the telecom/ICT resources available for each of them.</w:t>
      </w:r>
    </w:p>
    <w:p w14:paraId="270527DB" w14:textId="142C80F2" w:rsidR="00206501" w:rsidRPr="00DE1BD4" w:rsidRDefault="00487446" w:rsidP="00963CF3">
      <w:pPr>
        <w:pStyle w:val="ListParagraph"/>
        <w:numPr>
          <w:ilvl w:val="0"/>
          <w:numId w:val="34"/>
        </w:numPr>
        <w:rPr>
          <w:i/>
          <w:iCs/>
        </w:rPr>
      </w:pPr>
      <w:r>
        <w:rPr>
          <w:i/>
          <w:iCs/>
        </w:rPr>
        <w:t>PURA</w:t>
      </w:r>
      <w:r w:rsidR="007E6CC6" w:rsidRPr="00DE1BD4">
        <w:rPr>
          <w:i/>
          <w:iCs/>
        </w:rPr>
        <w:t xml:space="preserve"> should ensure that a</w:t>
      </w:r>
      <w:r w:rsidR="00866D58" w:rsidRPr="00DE1BD4">
        <w:rPr>
          <w:i/>
          <w:iCs/>
        </w:rPr>
        <w:t xml:space="preserve">ll telecom/ICT service operators, mobile, fixed, and radio and television broadcasting operators, as well as government networks, in conjunction with </w:t>
      </w:r>
      <w:r>
        <w:rPr>
          <w:i/>
          <w:iCs/>
        </w:rPr>
        <w:t>PURA</w:t>
      </w:r>
      <w:r w:rsidR="00866D58" w:rsidRPr="00DE1BD4">
        <w:rPr>
          <w:i/>
          <w:iCs/>
        </w:rPr>
        <w:t>, should develop (or update) and present for approval a vulnerability analysis of the critical infrastructure of their networks, including an inventory of the infrastructure, and power, maintenance and connectivity evaluations along with consideration of the risks associated with cybersecurity</w:t>
      </w:r>
      <w:r w:rsidR="00CB1DCE" w:rsidRPr="00DE1BD4">
        <w:rPr>
          <w:i/>
          <w:iCs/>
        </w:rPr>
        <w:t xml:space="preserve"> (t</w:t>
      </w:r>
      <w:r w:rsidR="00206501" w:rsidRPr="00DE1BD4">
        <w:rPr>
          <w:i/>
          <w:iCs/>
        </w:rPr>
        <w:t xml:space="preserve">o obtain the cooperation of private, commercial entities, </w:t>
      </w:r>
      <w:r w:rsidR="007E6CC6" w:rsidRPr="00DE1BD4">
        <w:rPr>
          <w:i/>
          <w:iCs/>
        </w:rPr>
        <w:t>(</w:t>
      </w:r>
      <w:r w:rsidR="00206501" w:rsidRPr="00DE1BD4">
        <w:rPr>
          <w:i/>
          <w:iCs/>
        </w:rPr>
        <w:t>it may be necessary to put in place confidentiality or non-disclosure agreements</w:t>
      </w:r>
      <w:r w:rsidR="00CB1DCE" w:rsidRPr="00DE1BD4">
        <w:rPr>
          <w:i/>
          <w:iCs/>
        </w:rPr>
        <w:t>)</w:t>
      </w:r>
      <w:r w:rsidR="00206501" w:rsidRPr="00DE1BD4">
        <w:rPr>
          <w:i/>
          <w:iCs/>
        </w:rPr>
        <w:t>.</w:t>
      </w:r>
    </w:p>
    <w:p w14:paraId="43343802" w14:textId="6CDD56D1" w:rsidR="006C3843" w:rsidRPr="00DE1BD4" w:rsidRDefault="001B1C01" w:rsidP="00963CF3">
      <w:pPr>
        <w:pStyle w:val="ListParagraph"/>
        <w:numPr>
          <w:ilvl w:val="0"/>
          <w:numId w:val="34"/>
        </w:numPr>
      </w:pPr>
      <w:r w:rsidRPr="00DE1BD4">
        <w:rPr>
          <w:i/>
          <w:iCs/>
        </w:rPr>
        <w:t xml:space="preserve">This activity could be carried out with the support of the </w:t>
      </w:r>
      <w:r w:rsidR="009C478C" w:rsidRPr="00DE1BD4">
        <w:rPr>
          <w:i/>
          <w:iCs/>
        </w:rPr>
        <w:t>academic institutions</w:t>
      </w:r>
      <w:r w:rsidRPr="00DE1BD4">
        <w:rPr>
          <w:i/>
          <w:iCs/>
        </w:rPr>
        <w:t xml:space="preserve"> and relevant planning departments and go beyond </w:t>
      </w:r>
      <w:r w:rsidR="009C478C" w:rsidRPr="00DE1BD4">
        <w:rPr>
          <w:i/>
          <w:iCs/>
        </w:rPr>
        <w:t xml:space="preserve">any </w:t>
      </w:r>
      <w:r w:rsidRPr="00DE1BD4">
        <w:rPr>
          <w:i/>
          <w:iCs/>
        </w:rPr>
        <w:t>current practise of collating information to become more proactive curation of data, identifying gaps and driving project requirements to expand and maintain GIS/Hazard Map information</w:t>
      </w:r>
      <w:r w:rsidR="00BC7103" w:rsidRPr="00DE1BD4">
        <w:t>.</w:t>
      </w:r>
    </w:p>
    <w:p w14:paraId="7B20708F" w14:textId="583CD5F5" w:rsidR="006C3843" w:rsidRPr="00DE1BD4" w:rsidRDefault="006C3843">
      <w:pPr>
        <w:jc w:val="left"/>
      </w:pPr>
      <w:r w:rsidRPr="00DE1BD4">
        <w:br w:type="page"/>
      </w:r>
    </w:p>
    <w:p w14:paraId="6C268803" w14:textId="45826216" w:rsidR="00BF2580" w:rsidRPr="00DE1BD4" w:rsidRDefault="00841FA1" w:rsidP="00A84834">
      <w:pPr>
        <w:pStyle w:val="Heading1"/>
      </w:pPr>
      <w:bookmarkStart w:id="229" w:name="_Toc181885798"/>
      <w:bookmarkEnd w:id="220"/>
      <w:r w:rsidRPr="00DE1BD4">
        <w:t xml:space="preserve">Telecom/ICT </w:t>
      </w:r>
      <w:r w:rsidR="00D827E7" w:rsidRPr="00DE1BD4">
        <w:t>sector</w:t>
      </w:r>
      <w:r w:rsidRPr="00DE1BD4">
        <w:t xml:space="preserve"> in </w:t>
      </w:r>
      <w:bookmarkEnd w:id="221"/>
      <w:bookmarkEnd w:id="222"/>
      <w:bookmarkEnd w:id="223"/>
      <w:bookmarkEnd w:id="224"/>
      <w:r w:rsidR="002329F1" w:rsidRPr="00DE1BD4">
        <w:t>T</w:t>
      </w:r>
      <w:r w:rsidR="00707680">
        <w:t>he Gambia</w:t>
      </w:r>
      <w:bookmarkEnd w:id="229"/>
    </w:p>
    <w:p w14:paraId="1D1AD7BC" w14:textId="5A128B24" w:rsidR="00C22475" w:rsidRPr="00DE1BD4" w:rsidRDefault="00C22475" w:rsidP="0076250F">
      <w:pPr>
        <w:rPr>
          <w:i/>
          <w:iCs/>
        </w:rPr>
      </w:pPr>
      <w:r w:rsidRPr="00DE1BD4">
        <w:rPr>
          <w:i/>
          <w:iCs/>
        </w:rPr>
        <w:t>All telecom/ICT service operators, mobile, fixed, and radio and television broadcasting operators, as well as Government networks, in conjunction with the NRA should develop (or update) and present for approval to the DRM Authority a vulnerability analysis of the critical infrastructure of their networks</w:t>
      </w:r>
      <w:r w:rsidR="00023DC6">
        <w:t>.</w:t>
      </w:r>
    </w:p>
    <w:p w14:paraId="48E5CE15" w14:textId="77777777" w:rsidR="002160E7" w:rsidRPr="002160E7" w:rsidRDefault="002160E7" w:rsidP="002160E7">
      <w:pPr>
        <w:jc w:val="center"/>
        <w:rPr>
          <w:b/>
          <w:bCs/>
        </w:rPr>
      </w:pPr>
      <w:r w:rsidRPr="002160E7">
        <w:rPr>
          <w:b/>
          <w:bCs/>
          <w:highlight w:val="yellow"/>
        </w:rPr>
        <w:t>To be updated following stakeholder consultation</w:t>
      </w:r>
    </w:p>
    <w:p w14:paraId="6CE878BA" w14:textId="28E55019" w:rsidR="00F2242C" w:rsidRPr="00DE1BD4" w:rsidRDefault="00C22475" w:rsidP="00CA34A2">
      <w:r w:rsidRPr="00DE1BD4">
        <w:t>T</w:t>
      </w:r>
      <w:r w:rsidR="00D91258" w:rsidRPr="00DE1BD4">
        <w:t xml:space="preserve">his section describes the context of the telecom/ICT sector in </w:t>
      </w:r>
      <w:r w:rsidR="0076250F" w:rsidRPr="00DE1BD4">
        <w:t>T</w:t>
      </w:r>
      <w:r w:rsidR="00707680">
        <w:t>he Gambia</w:t>
      </w:r>
      <w:r w:rsidR="00D91258" w:rsidRPr="00DE1BD4">
        <w:t xml:space="preserve"> and its main actors. This is an important part of the NETP; therefore, it should be updated at least every 2 years.</w:t>
      </w:r>
      <w:bookmarkStart w:id="230" w:name="_2u6wntf"/>
      <w:bookmarkStart w:id="231" w:name="_Toc90647122"/>
      <w:bookmarkStart w:id="232" w:name="_Toc90647242"/>
      <w:bookmarkStart w:id="233" w:name="_Toc90647795"/>
      <w:bookmarkStart w:id="234" w:name="_Toc90647912"/>
      <w:bookmarkStart w:id="235" w:name="_Toc90667085"/>
      <w:bookmarkStart w:id="236" w:name="_Toc90758025"/>
      <w:bookmarkStart w:id="237" w:name="_Toc90758191"/>
      <w:bookmarkStart w:id="238" w:name="_Toc90811238"/>
      <w:bookmarkStart w:id="239" w:name="_Toc90811409"/>
      <w:bookmarkStart w:id="240" w:name="_Toc90817080"/>
      <w:bookmarkStart w:id="241" w:name="_Toc90817386"/>
      <w:bookmarkStart w:id="242" w:name="_Toc90825108"/>
      <w:bookmarkStart w:id="243" w:name="_Toc90825250"/>
      <w:bookmarkStart w:id="244" w:name="_Toc90825418"/>
      <w:bookmarkStart w:id="245" w:name="_Toc90825560"/>
      <w:bookmarkStart w:id="246" w:name="_Toc90825854"/>
      <w:bookmarkStart w:id="247" w:name="_Toc89608432"/>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C039D8F" w14:textId="3FD944C1" w:rsidR="00D91258" w:rsidRPr="00DE1BD4" w:rsidRDefault="00D91258" w:rsidP="00C528FF">
      <w:pPr>
        <w:pStyle w:val="Heading2"/>
      </w:pPr>
      <w:bookmarkStart w:id="248" w:name="_Toc90825855"/>
      <w:bookmarkStart w:id="249" w:name="_Toc90825985"/>
      <w:bookmarkStart w:id="250" w:name="_Toc91172640"/>
      <w:bookmarkStart w:id="251" w:name="_Toc91185527"/>
      <w:bookmarkStart w:id="252" w:name="_Toc181885799"/>
      <w:r w:rsidRPr="00DE1BD4">
        <w:t>Overview</w:t>
      </w:r>
      <w:bookmarkEnd w:id="247"/>
      <w:bookmarkEnd w:id="248"/>
      <w:bookmarkEnd w:id="249"/>
      <w:bookmarkEnd w:id="250"/>
      <w:bookmarkEnd w:id="251"/>
      <w:bookmarkEnd w:id="252"/>
    </w:p>
    <w:p w14:paraId="710A5B73" w14:textId="7A66B055" w:rsidR="0036645A" w:rsidRPr="00DE1BD4" w:rsidRDefault="0036645A" w:rsidP="0036645A">
      <w:pPr>
        <w:rPr>
          <w:rFonts w:ascii="Segoe UI" w:hAnsi="Segoe UI"/>
          <w:sz w:val="18"/>
          <w:szCs w:val="18"/>
          <w:lang w:eastAsia="en-AU"/>
        </w:rPr>
      </w:pPr>
      <w:r w:rsidRPr="00DE1BD4">
        <w:rPr>
          <w:lang w:eastAsia="en-AU"/>
        </w:rPr>
        <w:t xml:space="preserve">The telecommunications Industry in </w:t>
      </w:r>
      <w:r w:rsidR="0076250F" w:rsidRPr="00DE1BD4">
        <w:rPr>
          <w:lang w:eastAsia="en-AU"/>
        </w:rPr>
        <w:t>T</w:t>
      </w:r>
      <w:r w:rsidR="00181E38">
        <w:rPr>
          <w:lang w:eastAsia="en-AU"/>
        </w:rPr>
        <w:t>he Gambia</w:t>
      </w:r>
      <w:r w:rsidRPr="00DE1BD4">
        <w:rPr>
          <w:lang w:eastAsia="en-AU"/>
        </w:rPr>
        <w:t xml:space="preserve"> is </w:t>
      </w:r>
      <w:r w:rsidR="001C087F" w:rsidRPr="00DE1BD4">
        <w:rPr>
          <w:lang w:eastAsia="en-AU"/>
        </w:rPr>
        <w:t xml:space="preserve">competitive, with </w:t>
      </w:r>
      <w:r w:rsidR="00962490" w:rsidRPr="00DE1BD4">
        <w:rPr>
          <w:lang w:eastAsia="en-AU"/>
        </w:rPr>
        <w:t xml:space="preserve">a modern </w:t>
      </w:r>
      <w:r w:rsidR="00CA6394" w:rsidRPr="00DE1BD4">
        <w:rPr>
          <w:lang w:eastAsia="en-AU"/>
        </w:rPr>
        <w:t>and extensive network coverage</w:t>
      </w:r>
      <w:r w:rsidR="004E1155" w:rsidRPr="00DE1BD4">
        <w:rPr>
          <w:lang w:eastAsia="en-AU"/>
        </w:rPr>
        <w:t>.</w:t>
      </w:r>
      <w:r w:rsidR="00472201" w:rsidRPr="00DE1BD4">
        <w:rPr>
          <w:lang w:eastAsia="en-AU"/>
        </w:rPr>
        <w:t xml:space="preserve"> </w:t>
      </w:r>
      <w:r w:rsidRPr="00DE1BD4">
        <w:rPr>
          <w:lang w:eastAsia="en-AU"/>
        </w:rPr>
        <w:t>The basic features of the market are</w:t>
      </w:r>
      <w:r w:rsidRPr="00DE1BD4">
        <w:rPr>
          <w:sz w:val="16"/>
          <w:szCs w:val="16"/>
          <w:lang w:eastAsia="en-AU"/>
        </w:rPr>
        <w:t>:</w:t>
      </w:r>
    </w:p>
    <w:p w14:paraId="356334F4" w14:textId="273E1D26" w:rsidR="0036645A" w:rsidRPr="00DE1BD4" w:rsidRDefault="0036645A" w:rsidP="00731ECE">
      <w:pPr>
        <w:pStyle w:val="ListParagraph"/>
        <w:numPr>
          <w:ilvl w:val="0"/>
          <w:numId w:val="19"/>
        </w:numPr>
        <w:rPr>
          <w:lang w:eastAsia="en-AU"/>
        </w:rPr>
      </w:pPr>
      <w:r w:rsidRPr="00DE1BD4">
        <w:rPr>
          <w:lang w:eastAsia="en-AU"/>
        </w:rPr>
        <w:t xml:space="preserve">Open market, with </w:t>
      </w:r>
      <w:r w:rsidR="001E55D9" w:rsidRPr="00DE1BD4">
        <w:rPr>
          <w:lang w:eastAsia="en-AU"/>
        </w:rPr>
        <w:t>an</w:t>
      </w:r>
      <w:r w:rsidRPr="00DE1BD4">
        <w:rPr>
          <w:lang w:eastAsia="en-AU"/>
        </w:rPr>
        <w:t xml:space="preserve"> independent regulatory authority </w:t>
      </w:r>
    </w:p>
    <w:p w14:paraId="2D6F72FD" w14:textId="3B295C3B" w:rsidR="00807241" w:rsidRDefault="00EF4615" w:rsidP="00731ECE">
      <w:pPr>
        <w:pStyle w:val="ListParagraph"/>
        <w:numPr>
          <w:ilvl w:val="0"/>
          <w:numId w:val="19"/>
        </w:numPr>
        <w:rPr>
          <w:lang w:eastAsia="en-AU"/>
        </w:rPr>
      </w:pPr>
      <w:r w:rsidRPr="00DE1BD4">
        <w:rPr>
          <w:lang w:eastAsia="en-AU"/>
        </w:rPr>
        <w:t>F</w:t>
      </w:r>
      <w:r w:rsidR="00181E38">
        <w:rPr>
          <w:lang w:eastAsia="en-AU"/>
        </w:rPr>
        <w:t>our</w:t>
      </w:r>
      <w:r w:rsidR="0036645A" w:rsidRPr="00DE1BD4">
        <w:rPr>
          <w:lang w:eastAsia="en-AU"/>
        </w:rPr>
        <w:t xml:space="preserve"> </w:t>
      </w:r>
      <w:r w:rsidR="002074CF">
        <w:rPr>
          <w:lang w:eastAsia="en-AU"/>
        </w:rPr>
        <w:t xml:space="preserve">(4) </w:t>
      </w:r>
      <w:r w:rsidR="0036645A" w:rsidRPr="00DE1BD4">
        <w:rPr>
          <w:lang w:eastAsia="en-AU"/>
        </w:rPr>
        <w:t xml:space="preserve">mobile networks: </w:t>
      </w:r>
      <w:proofErr w:type="spellStart"/>
      <w:r w:rsidR="00181E38">
        <w:rPr>
          <w:lang w:eastAsia="en-AU"/>
        </w:rPr>
        <w:t>Gamcell</w:t>
      </w:r>
      <w:proofErr w:type="spellEnd"/>
      <w:r w:rsidR="00181E38">
        <w:rPr>
          <w:lang w:eastAsia="en-AU"/>
        </w:rPr>
        <w:t xml:space="preserve">, </w:t>
      </w:r>
      <w:proofErr w:type="spellStart"/>
      <w:r w:rsidR="00181E38">
        <w:rPr>
          <w:lang w:eastAsia="en-AU"/>
        </w:rPr>
        <w:t>Q</w:t>
      </w:r>
      <w:r w:rsidR="00807241">
        <w:rPr>
          <w:lang w:eastAsia="en-AU"/>
        </w:rPr>
        <w:t>Cell</w:t>
      </w:r>
      <w:proofErr w:type="spellEnd"/>
      <w:r w:rsidR="00807241">
        <w:rPr>
          <w:lang w:eastAsia="en-AU"/>
        </w:rPr>
        <w:t>, Africell and</w:t>
      </w:r>
      <w:r w:rsidR="0003413D">
        <w:rPr>
          <w:lang w:eastAsia="en-AU"/>
        </w:rPr>
        <w:t xml:space="preserve"> </w:t>
      </w:r>
      <w:proofErr w:type="spellStart"/>
      <w:r w:rsidR="00D3618C">
        <w:rPr>
          <w:lang w:eastAsia="en-AU"/>
        </w:rPr>
        <w:t>Comium</w:t>
      </w:r>
      <w:proofErr w:type="spellEnd"/>
      <w:r w:rsidR="00B87C0F" w:rsidRPr="0045782B">
        <w:rPr>
          <w:rStyle w:val="FootnoteReference"/>
        </w:rPr>
        <w:footnoteReference w:id="60"/>
      </w:r>
    </w:p>
    <w:p w14:paraId="56BE5760" w14:textId="78505217" w:rsidR="00A4231D" w:rsidRPr="00DE1BD4" w:rsidRDefault="00807241" w:rsidP="00731ECE">
      <w:pPr>
        <w:pStyle w:val="ListParagraph"/>
        <w:numPr>
          <w:ilvl w:val="0"/>
          <w:numId w:val="19"/>
        </w:numPr>
        <w:rPr>
          <w:lang w:eastAsia="en-AU"/>
        </w:rPr>
      </w:pPr>
      <w:r>
        <w:rPr>
          <w:lang w:eastAsia="en-AU"/>
        </w:rPr>
        <w:t>A single fixed line provider: Gamtel</w:t>
      </w:r>
      <w:r w:rsidR="007B46E2" w:rsidRPr="0045782B">
        <w:rPr>
          <w:rStyle w:val="FootnoteReference"/>
        </w:rPr>
        <w:footnoteReference w:id="61"/>
      </w:r>
    </w:p>
    <w:p w14:paraId="3E1A33DE" w14:textId="489AD2CD" w:rsidR="0036645A" w:rsidRPr="00DE1BD4" w:rsidRDefault="002074CF" w:rsidP="00731ECE">
      <w:pPr>
        <w:pStyle w:val="ListParagraph"/>
        <w:numPr>
          <w:ilvl w:val="0"/>
          <w:numId w:val="19"/>
        </w:numPr>
        <w:rPr>
          <w:lang w:eastAsia="en-AU"/>
        </w:rPr>
      </w:pPr>
      <w:r>
        <w:rPr>
          <w:lang w:eastAsia="en-AU"/>
        </w:rPr>
        <w:t xml:space="preserve">Eight (8) </w:t>
      </w:r>
      <w:proofErr w:type="gramStart"/>
      <w:r w:rsidR="0036645A" w:rsidRPr="00DE1BD4">
        <w:rPr>
          <w:lang w:eastAsia="en-AU"/>
        </w:rPr>
        <w:t>ISP</w:t>
      </w:r>
      <w:bookmarkStart w:id="253" w:name="_Hlk167973478"/>
      <w:r w:rsidR="006029EE" w:rsidRPr="00DE1BD4">
        <w:rPr>
          <w:lang w:eastAsia="en-AU"/>
        </w:rPr>
        <w:t>’s</w:t>
      </w:r>
      <w:proofErr w:type="gramEnd"/>
      <w:r w:rsidR="006029EE" w:rsidRPr="00DE1BD4">
        <w:rPr>
          <w:lang w:eastAsia="en-AU"/>
        </w:rPr>
        <w:t xml:space="preserve"> across T</w:t>
      </w:r>
      <w:r w:rsidR="006962E5">
        <w:rPr>
          <w:lang w:eastAsia="en-AU"/>
        </w:rPr>
        <w:t>he Gambia</w:t>
      </w:r>
      <w:r w:rsidR="00DF4ECF" w:rsidRPr="0045782B">
        <w:rPr>
          <w:rStyle w:val="FootnoteReference"/>
        </w:rPr>
        <w:footnoteReference w:id="62"/>
      </w:r>
    </w:p>
    <w:bookmarkEnd w:id="253"/>
    <w:p w14:paraId="0D2F778F" w14:textId="4BC13AAD" w:rsidR="0036645A" w:rsidRPr="00DE1BD4" w:rsidRDefault="00807241" w:rsidP="00731ECE">
      <w:pPr>
        <w:pStyle w:val="ListParagraph"/>
        <w:numPr>
          <w:ilvl w:val="0"/>
          <w:numId w:val="19"/>
        </w:numPr>
        <w:rPr>
          <w:lang w:eastAsia="en-AU"/>
        </w:rPr>
      </w:pPr>
      <w:r>
        <w:rPr>
          <w:lang w:eastAsia="en-AU"/>
        </w:rPr>
        <w:t>One</w:t>
      </w:r>
      <w:r w:rsidR="00DE01C2">
        <w:rPr>
          <w:lang w:eastAsia="en-AU"/>
        </w:rPr>
        <w:t xml:space="preserve"> international </w:t>
      </w:r>
      <w:r w:rsidR="0036645A" w:rsidRPr="00DE1BD4">
        <w:rPr>
          <w:lang w:eastAsia="en-AU"/>
        </w:rPr>
        <w:t xml:space="preserve">subsea cable </w:t>
      </w:r>
      <w:r w:rsidR="00DE01C2">
        <w:rPr>
          <w:lang w:eastAsia="en-AU"/>
        </w:rPr>
        <w:t>landing</w:t>
      </w:r>
      <w:r>
        <w:rPr>
          <w:lang w:eastAsia="en-AU"/>
        </w:rPr>
        <w:t>: A</w:t>
      </w:r>
      <w:r w:rsidR="003730F1">
        <w:rPr>
          <w:lang w:eastAsia="en-AU"/>
        </w:rPr>
        <w:t>frica Coast to Europe (A</w:t>
      </w:r>
      <w:r>
        <w:rPr>
          <w:lang w:eastAsia="en-AU"/>
        </w:rPr>
        <w:t>CE</w:t>
      </w:r>
      <w:r w:rsidR="003730F1">
        <w:rPr>
          <w:lang w:eastAsia="en-AU"/>
        </w:rPr>
        <w:t>)</w:t>
      </w:r>
      <w:r w:rsidR="005A741D" w:rsidRPr="0045782B">
        <w:rPr>
          <w:rStyle w:val="FootnoteReference"/>
        </w:rPr>
        <w:footnoteReference w:id="63"/>
      </w:r>
      <w:r w:rsidR="0036645A" w:rsidRPr="00DE1BD4">
        <w:rPr>
          <w:lang w:eastAsia="en-AU"/>
        </w:rPr>
        <w:t> </w:t>
      </w:r>
    </w:p>
    <w:p w14:paraId="34163E88" w14:textId="2BF13AF0" w:rsidR="0036645A" w:rsidRPr="00DE1BD4" w:rsidRDefault="0036645A" w:rsidP="0036645A">
      <w:pPr>
        <w:rPr>
          <w:lang w:eastAsia="en-AU"/>
        </w:rPr>
      </w:pPr>
      <w:r w:rsidRPr="00DE1BD4">
        <w:rPr>
          <w:lang w:eastAsia="en-AU"/>
        </w:rPr>
        <w:t xml:space="preserve">As is the case in many small </w:t>
      </w:r>
      <w:r w:rsidR="008845A7" w:rsidRPr="00DE1BD4">
        <w:rPr>
          <w:lang w:eastAsia="en-AU"/>
        </w:rPr>
        <w:t>and/or</w:t>
      </w:r>
      <w:r w:rsidRPr="00DE1BD4">
        <w:rPr>
          <w:lang w:eastAsia="en-AU"/>
        </w:rPr>
        <w:t xml:space="preserve"> developing economies, the market is dominated by prepaid subscribers. In </w:t>
      </w:r>
      <w:r w:rsidR="00DE01C2">
        <w:rPr>
          <w:lang w:eastAsia="en-AU"/>
        </w:rPr>
        <w:t>T</w:t>
      </w:r>
      <w:r w:rsidR="00807241">
        <w:rPr>
          <w:lang w:eastAsia="en-AU"/>
        </w:rPr>
        <w:t>he Gambia</w:t>
      </w:r>
      <w:r w:rsidRPr="00DE1BD4">
        <w:rPr>
          <w:lang w:eastAsia="en-AU"/>
        </w:rPr>
        <w:t>, prepaid makes up an estimated 9</w:t>
      </w:r>
      <w:r w:rsidR="00CB36E9" w:rsidRPr="00DE1BD4">
        <w:rPr>
          <w:lang w:eastAsia="en-AU"/>
        </w:rPr>
        <w:t>2</w:t>
      </w:r>
      <w:r w:rsidRPr="00DE1BD4">
        <w:rPr>
          <w:lang w:eastAsia="en-AU"/>
        </w:rPr>
        <w:t>% of the market with a significant proportion of these connections in rural area</w:t>
      </w:r>
      <w:r w:rsidR="0067709B" w:rsidRPr="00DE1BD4">
        <w:rPr>
          <w:lang w:eastAsia="en-AU"/>
        </w:rPr>
        <w:t>s.</w:t>
      </w:r>
      <w:r w:rsidR="00475AD8" w:rsidRPr="00DE1BD4">
        <w:rPr>
          <w:lang w:eastAsia="en-AU"/>
        </w:rPr>
        <w:t xml:space="preserve"> </w:t>
      </w:r>
    </w:p>
    <w:p w14:paraId="1CF44EE8" w14:textId="15EF8225" w:rsidR="00D91258" w:rsidRPr="00DE1BD4" w:rsidRDefault="0029224C" w:rsidP="0029224C">
      <w:pPr>
        <w:pStyle w:val="Caption"/>
        <w:jc w:val="center"/>
      </w:pPr>
      <w:bookmarkStart w:id="254" w:name="_Ref115948389"/>
      <w:bookmarkStart w:id="255" w:name="_Ref115948390"/>
      <w:bookmarkStart w:id="256" w:name="_Toc181885858"/>
      <w:r w:rsidRPr="00DE1BD4">
        <w:t xml:space="preserve">Table </w:t>
      </w:r>
      <w:r w:rsidRPr="00DE1BD4">
        <w:fldChar w:fldCharType="begin"/>
      </w:r>
      <w:r w:rsidRPr="00DE1BD4">
        <w:instrText xml:space="preserve"> SEQ Table \* ARABIC </w:instrText>
      </w:r>
      <w:r w:rsidRPr="00DE1BD4">
        <w:fldChar w:fldCharType="separate"/>
      </w:r>
      <w:r w:rsidR="001317F1">
        <w:rPr>
          <w:noProof/>
        </w:rPr>
        <w:t>5</w:t>
      </w:r>
      <w:r w:rsidRPr="00DE1BD4">
        <w:fldChar w:fldCharType="end"/>
      </w:r>
      <w:bookmarkEnd w:id="254"/>
      <w:r w:rsidRPr="00DE1BD4">
        <w:t xml:space="preserve"> </w:t>
      </w:r>
      <w:r w:rsidR="00326C50" w:rsidRPr="00DE1BD4">
        <w:t>–</w:t>
      </w:r>
      <w:r w:rsidRPr="00DE1BD4">
        <w:t xml:space="preserve"> </w:t>
      </w:r>
      <w:r w:rsidR="002329F1" w:rsidRPr="00DE1BD4">
        <w:t>T</w:t>
      </w:r>
      <w:r w:rsidR="00807241">
        <w:t>he Gambia</w:t>
      </w:r>
      <w:r w:rsidR="00326C50" w:rsidRPr="00DE1BD4">
        <w:t xml:space="preserve"> </w:t>
      </w:r>
      <w:r w:rsidRPr="00DE1BD4">
        <w:t>Telecom Statistics</w:t>
      </w:r>
      <w:bookmarkEnd w:id="255"/>
      <w:bookmarkEnd w:id="256"/>
    </w:p>
    <w:tbl>
      <w:tblPr>
        <w:tblStyle w:val="TableGrid"/>
        <w:tblW w:w="7792" w:type="dxa"/>
        <w:jc w:val="center"/>
        <w:tblInd w:w="0" w:type="dxa"/>
        <w:tblLayout w:type="fixed"/>
        <w:tblLook w:val="04A0" w:firstRow="1" w:lastRow="0" w:firstColumn="1" w:lastColumn="0" w:noHBand="0" w:noVBand="1"/>
      </w:tblPr>
      <w:tblGrid>
        <w:gridCol w:w="6091"/>
        <w:gridCol w:w="1701"/>
      </w:tblGrid>
      <w:tr w:rsidR="00B65A69" w:rsidRPr="00B471DB" w14:paraId="3F1F7E6E" w14:textId="77777777" w:rsidTr="007D4826">
        <w:trPr>
          <w:trHeight w:val="376"/>
          <w:jc w:val="center"/>
        </w:trPr>
        <w:tc>
          <w:tcPr>
            <w:tcW w:w="6091" w:type="dxa"/>
            <w:shd w:val="clear" w:color="auto" w:fill="0070C0"/>
            <w:vAlign w:val="center"/>
          </w:tcPr>
          <w:p w14:paraId="230654BD" w14:textId="42887721" w:rsidR="00B65A69" w:rsidRPr="00B471DB" w:rsidRDefault="00B65A69" w:rsidP="006B783E">
            <w:pPr>
              <w:jc w:val="left"/>
              <w:rPr>
                <w:b/>
                <w:bCs/>
                <w:color w:val="FFFFFF" w:themeColor="background1"/>
                <w:sz w:val="20"/>
                <w:szCs w:val="20"/>
              </w:rPr>
            </w:pPr>
            <w:bookmarkStart w:id="257" w:name="_3tbugp1"/>
            <w:bookmarkStart w:id="258" w:name="_Toc89608456"/>
            <w:bookmarkStart w:id="259" w:name="_Toc90825856"/>
            <w:bookmarkStart w:id="260" w:name="_Toc90825986"/>
            <w:bookmarkStart w:id="261" w:name="_Toc91172641"/>
            <w:bookmarkStart w:id="262" w:name="_Toc91185528"/>
            <w:bookmarkStart w:id="263" w:name="_Toc89608445"/>
            <w:bookmarkStart w:id="264" w:name="_Toc89608433"/>
            <w:bookmarkEnd w:id="257"/>
            <w:r w:rsidRPr="00B471DB">
              <w:rPr>
                <w:b/>
                <w:bCs/>
                <w:color w:val="FFFFFF" w:themeColor="background1"/>
                <w:sz w:val="20"/>
                <w:szCs w:val="20"/>
              </w:rPr>
              <w:t>Key Indicators</w:t>
            </w:r>
          </w:p>
        </w:tc>
        <w:tc>
          <w:tcPr>
            <w:tcW w:w="1701" w:type="dxa"/>
            <w:shd w:val="clear" w:color="auto" w:fill="0070C0"/>
            <w:vAlign w:val="center"/>
          </w:tcPr>
          <w:p w14:paraId="1071516C" w14:textId="6F7557F4" w:rsidR="00B65A69" w:rsidRPr="00B471DB" w:rsidRDefault="00B65A69" w:rsidP="006B783E">
            <w:pPr>
              <w:jc w:val="center"/>
              <w:rPr>
                <w:b/>
                <w:bCs/>
                <w:color w:val="FFFFFF" w:themeColor="background1"/>
                <w:sz w:val="20"/>
                <w:szCs w:val="20"/>
              </w:rPr>
            </w:pPr>
            <w:r w:rsidRPr="00B471DB">
              <w:rPr>
                <w:b/>
                <w:bCs/>
                <w:color w:val="FFFFFF" w:themeColor="background1"/>
                <w:sz w:val="20"/>
                <w:szCs w:val="20"/>
              </w:rPr>
              <w:t>ITU 2022</w:t>
            </w:r>
            <w:r w:rsidR="00D92206" w:rsidRPr="0045782B">
              <w:rPr>
                <w:rStyle w:val="FootnoteReference"/>
              </w:rPr>
              <w:footnoteReference w:id="64"/>
            </w:r>
            <w:r w:rsidRPr="00B471DB">
              <w:rPr>
                <w:b/>
                <w:bCs/>
                <w:color w:val="FFFFFF" w:themeColor="background1"/>
                <w:sz w:val="20"/>
                <w:szCs w:val="20"/>
              </w:rPr>
              <w:t xml:space="preserve">, </w:t>
            </w:r>
            <w:r w:rsidR="00807241" w:rsidRPr="00B471DB">
              <w:rPr>
                <w:b/>
                <w:bCs/>
                <w:color w:val="FFFFFF" w:themeColor="background1"/>
                <w:sz w:val="20"/>
                <w:szCs w:val="20"/>
              </w:rPr>
              <w:t>PURA</w:t>
            </w:r>
            <w:r w:rsidRPr="00B471DB">
              <w:rPr>
                <w:b/>
                <w:bCs/>
                <w:color w:val="FFFFFF" w:themeColor="background1"/>
                <w:sz w:val="20"/>
                <w:szCs w:val="20"/>
              </w:rPr>
              <w:t xml:space="preserve"> 202</w:t>
            </w:r>
            <w:r w:rsidR="00807241" w:rsidRPr="00B471DB">
              <w:rPr>
                <w:b/>
                <w:bCs/>
                <w:color w:val="FFFFFF" w:themeColor="background1"/>
                <w:sz w:val="20"/>
                <w:szCs w:val="20"/>
              </w:rPr>
              <w:t>1</w:t>
            </w:r>
            <w:r w:rsidR="00111EB3" w:rsidRPr="0045782B">
              <w:rPr>
                <w:rStyle w:val="FootnoteReference"/>
              </w:rPr>
              <w:footnoteReference w:id="65"/>
            </w:r>
          </w:p>
        </w:tc>
      </w:tr>
      <w:tr w:rsidR="00B65A69" w:rsidRPr="00B471DB" w14:paraId="7AEBF699" w14:textId="77777777" w:rsidTr="007D4826">
        <w:trPr>
          <w:jc w:val="center"/>
        </w:trPr>
        <w:tc>
          <w:tcPr>
            <w:tcW w:w="6091" w:type="dxa"/>
            <w:shd w:val="clear" w:color="auto" w:fill="0070C0"/>
          </w:tcPr>
          <w:p w14:paraId="453D8629" w14:textId="01A43BFE" w:rsidR="00B65A69" w:rsidRPr="00B471DB" w:rsidRDefault="00B65A69" w:rsidP="006B783E">
            <w:pPr>
              <w:jc w:val="left"/>
              <w:rPr>
                <w:b/>
                <w:bCs/>
                <w:color w:val="FFFFFF" w:themeColor="background1"/>
                <w:sz w:val="20"/>
                <w:szCs w:val="20"/>
              </w:rPr>
            </w:pPr>
            <w:r w:rsidRPr="00B471DB">
              <w:rPr>
                <w:b/>
                <w:bCs/>
                <w:color w:val="FFFFFF" w:themeColor="background1"/>
                <w:sz w:val="20"/>
                <w:szCs w:val="20"/>
              </w:rPr>
              <w:t>Mobile Network Coverage</w:t>
            </w:r>
          </w:p>
        </w:tc>
        <w:tc>
          <w:tcPr>
            <w:tcW w:w="1701" w:type="dxa"/>
            <w:shd w:val="clear" w:color="auto" w:fill="0070C0"/>
          </w:tcPr>
          <w:p w14:paraId="24F6C86D" w14:textId="62930CD8" w:rsidR="00B65A69" w:rsidRPr="00B471DB" w:rsidRDefault="00B65A69" w:rsidP="006B783E">
            <w:pPr>
              <w:jc w:val="center"/>
              <w:rPr>
                <w:b/>
                <w:bCs/>
                <w:color w:val="FFFFFF" w:themeColor="background1"/>
                <w:sz w:val="20"/>
                <w:szCs w:val="20"/>
              </w:rPr>
            </w:pPr>
          </w:p>
        </w:tc>
      </w:tr>
      <w:tr w:rsidR="00B65A69" w:rsidRPr="00B471DB" w14:paraId="4EEDC110" w14:textId="77777777" w:rsidTr="007D4826">
        <w:trPr>
          <w:jc w:val="center"/>
        </w:trPr>
        <w:tc>
          <w:tcPr>
            <w:tcW w:w="6091" w:type="dxa"/>
          </w:tcPr>
          <w:p w14:paraId="40850BF0" w14:textId="0057E86B" w:rsidR="00B65A69" w:rsidRPr="00B471DB" w:rsidRDefault="00B65A69" w:rsidP="006B783E">
            <w:pPr>
              <w:jc w:val="left"/>
              <w:rPr>
                <w:sz w:val="20"/>
                <w:szCs w:val="20"/>
              </w:rPr>
            </w:pPr>
            <w:r w:rsidRPr="00B471DB">
              <w:rPr>
                <w:sz w:val="20"/>
                <w:szCs w:val="20"/>
              </w:rPr>
              <w:t>Mobile-cellular network (of any type) coverage (% of population)</w:t>
            </w:r>
          </w:p>
        </w:tc>
        <w:tc>
          <w:tcPr>
            <w:tcW w:w="1701" w:type="dxa"/>
            <w:tcMar>
              <w:right w:w="170" w:type="dxa"/>
            </w:tcMar>
          </w:tcPr>
          <w:p w14:paraId="52C03E91" w14:textId="3A19CE1E" w:rsidR="00B65A69" w:rsidRPr="00B471DB" w:rsidRDefault="00BF568D"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9</w:t>
            </w:r>
            <w:r w:rsidR="00271C4D" w:rsidRPr="00B471DB">
              <w:rPr>
                <w:rFonts w:asciiTheme="minorHAnsi" w:hAnsiTheme="minorHAnsi" w:cstheme="minorHAnsi"/>
                <w:sz w:val="20"/>
                <w:szCs w:val="20"/>
              </w:rPr>
              <w:t>8</w:t>
            </w:r>
            <w:r w:rsidR="00D54502" w:rsidRPr="00B471DB">
              <w:rPr>
                <w:rFonts w:asciiTheme="minorHAnsi" w:hAnsiTheme="minorHAnsi" w:cstheme="minorHAnsi"/>
                <w:sz w:val="20"/>
                <w:szCs w:val="20"/>
              </w:rPr>
              <w:t>.1</w:t>
            </w:r>
          </w:p>
        </w:tc>
      </w:tr>
      <w:tr w:rsidR="00B65A69" w:rsidRPr="00B471DB" w14:paraId="3662EC20" w14:textId="77777777" w:rsidTr="007D4826">
        <w:trPr>
          <w:jc w:val="center"/>
        </w:trPr>
        <w:tc>
          <w:tcPr>
            <w:tcW w:w="6091" w:type="dxa"/>
          </w:tcPr>
          <w:p w14:paraId="71A3A1DF" w14:textId="77777777" w:rsidR="00B65A69" w:rsidRPr="00B471DB" w:rsidRDefault="00B65A69"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3G coverage (% of population)</w:t>
            </w:r>
          </w:p>
        </w:tc>
        <w:tc>
          <w:tcPr>
            <w:tcW w:w="1701" w:type="dxa"/>
            <w:tcMar>
              <w:right w:w="170" w:type="dxa"/>
            </w:tcMar>
          </w:tcPr>
          <w:p w14:paraId="03500D25" w14:textId="4B1D3BFE" w:rsidR="00B65A69" w:rsidRPr="00B471DB" w:rsidRDefault="00271C4D"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88</w:t>
            </w:r>
          </w:p>
        </w:tc>
      </w:tr>
      <w:tr w:rsidR="00117B2A" w:rsidRPr="00B471DB" w14:paraId="616220DF" w14:textId="77777777" w:rsidTr="007D4826">
        <w:trPr>
          <w:jc w:val="center"/>
        </w:trPr>
        <w:tc>
          <w:tcPr>
            <w:tcW w:w="6091" w:type="dxa"/>
          </w:tcPr>
          <w:p w14:paraId="2A6A270C" w14:textId="3740A8CA" w:rsidR="00117B2A" w:rsidRPr="00B471DB" w:rsidRDefault="00117B2A"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4G coverage (% of population)</w:t>
            </w:r>
          </w:p>
        </w:tc>
        <w:tc>
          <w:tcPr>
            <w:tcW w:w="1701" w:type="dxa"/>
            <w:tcMar>
              <w:right w:w="170" w:type="dxa"/>
            </w:tcMar>
          </w:tcPr>
          <w:p w14:paraId="4568D28C" w14:textId="237330EB" w:rsidR="00117B2A" w:rsidRPr="00B471DB" w:rsidRDefault="00D10934"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55</w:t>
            </w:r>
          </w:p>
        </w:tc>
      </w:tr>
      <w:tr w:rsidR="00B65A69" w:rsidRPr="00B471DB" w14:paraId="732568C0" w14:textId="77777777" w:rsidTr="007D4826">
        <w:trPr>
          <w:jc w:val="center"/>
        </w:trPr>
        <w:tc>
          <w:tcPr>
            <w:tcW w:w="6091" w:type="dxa"/>
          </w:tcPr>
          <w:p w14:paraId="0C095B66" w14:textId="1B27F6EE" w:rsidR="00B65A69" w:rsidRPr="00B471DB" w:rsidRDefault="00117B2A"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5</w:t>
            </w:r>
            <w:r w:rsidR="00B65A69" w:rsidRPr="00B471DB">
              <w:rPr>
                <w:sz w:val="20"/>
                <w:szCs w:val="20"/>
              </w:rPr>
              <w:t>G</w:t>
            </w:r>
            <w:r w:rsidRPr="00B471DB">
              <w:rPr>
                <w:sz w:val="20"/>
                <w:szCs w:val="20"/>
              </w:rPr>
              <w:t xml:space="preserve"> coverage</w:t>
            </w:r>
            <w:r w:rsidR="00B65A69" w:rsidRPr="00B471DB">
              <w:rPr>
                <w:sz w:val="20"/>
                <w:szCs w:val="20"/>
              </w:rPr>
              <w:t xml:space="preserve"> (% of population)</w:t>
            </w:r>
          </w:p>
        </w:tc>
        <w:tc>
          <w:tcPr>
            <w:tcW w:w="1701" w:type="dxa"/>
            <w:tcMar>
              <w:right w:w="170" w:type="dxa"/>
            </w:tcMar>
          </w:tcPr>
          <w:p w14:paraId="5CA86D2A" w14:textId="758E74D6" w:rsidR="00B65A69" w:rsidRPr="00B471DB" w:rsidRDefault="00D10934"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0</w:t>
            </w:r>
          </w:p>
        </w:tc>
      </w:tr>
      <w:tr w:rsidR="00B65A69" w:rsidRPr="00B471DB" w14:paraId="70D98C81" w14:textId="77777777" w:rsidTr="007D4826">
        <w:trPr>
          <w:jc w:val="center"/>
        </w:trPr>
        <w:tc>
          <w:tcPr>
            <w:tcW w:w="6091" w:type="dxa"/>
            <w:shd w:val="clear" w:color="auto" w:fill="0070C0"/>
          </w:tcPr>
          <w:p w14:paraId="4A994FAF" w14:textId="7C8F9890" w:rsidR="00B65A69" w:rsidRPr="00B471DB" w:rsidRDefault="00B65A69" w:rsidP="00124019">
            <w:pPr>
              <w:jc w:val="left"/>
              <w:rPr>
                <w:b/>
                <w:bCs/>
                <w:color w:val="FFFFFF" w:themeColor="background1"/>
                <w:sz w:val="20"/>
                <w:szCs w:val="20"/>
              </w:rPr>
            </w:pPr>
            <w:r w:rsidRPr="00B471DB">
              <w:rPr>
                <w:b/>
                <w:bCs/>
                <w:color w:val="FFFFFF" w:themeColor="background1"/>
                <w:sz w:val="20"/>
                <w:szCs w:val="20"/>
              </w:rPr>
              <w:t>Mobile Usage</w:t>
            </w:r>
          </w:p>
        </w:tc>
        <w:tc>
          <w:tcPr>
            <w:tcW w:w="1701" w:type="dxa"/>
            <w:shd w:val="clear" w:color="auto" w:fill="0070C0"/>
          </w:tcPr>
          <w:p w14:paraId="7881FA4A" w14:textId="77777777" w:rsidR="00B65A69" w:rsidRPr="00B471DB" w:rsidRDefault="00B65A69" w:rsidP="00124019">
            <w:pPr>
              <w:jc w:val="center"/>
              <w:rPr>
                <w:rFonts w:asciiTheme="minorHAnsi" w:hAnsiTheme="minorHAnsi" w:cstheme="minorHAnsi"/>
                <w:b/>
                <w:bCs/>
                <w:color w:val="FFFFFF" w:themeColor="background1"/>
                <w:sz w:val="20"/>
                <w:szCs w:val="20"/>
              </w:rPr>
            </w:pPr>
          </w:p>
        </w:tc>
      </w:tr>
      <w:tr w:rsidR="00B65A69" w:rsidRPr="00B471DB" w14:paraId="62BC1ADD" w14:textId="77777777" w:rsidTr="007D4826">
        <w:trPr>
          <w:jc w:val="center"/>
        </w:trPr>
        <w:tc>
          <w:tcPr>
            <w:tcW w:w="6091" w:type="dxa"/>
          </w:tcPr>
          <w:p w14:paraId="00833613" w14:textId="77777777" w:rsidR="00B65A69" w:rsidRPr="00B471DB" w:rsidRDefault="00B65A69" w:rsidP="001C0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Number of mobile network operators (MNOs)</w:t>
            </w:r>
          </w:p>
        </w:tc>
        <w:tc>
          <w:tcPr>
            <w:tcW w:w="1701" w:type="dxa"/>
            <w:tcMar>
              <w:right w:w="170" w:type="dxa"/>
            </w:tcMar>
          </w:tcPr>
          <w:p w14:paraId="50BFA224" w14:textId="308D6B7C" w:rsidR="00B65A69" w:rsidRPr="00B471DB" w:rsidRDefault="00D10934" w:rsidP="001C0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4</w:t>
            </w:r>
          </w:p>
        </w:tc>
      </w:tr>
      <w:tr w:rsidR="00B65A69" w:rsidRPr="00B471DB" w14:paraId="5CB51E6E" w14:textId="77777777" w:rsidTr="007D4826">
        <w:trPr>
          <w:jc w:val="center"/>
        </w:trPr>
        <w:tc>
          <w:tcPr>
            <w:tcW w:w="6091" w:type="dxa"/>
          </w:tcPr>
          <w:p w14:paraId="5A830779" w14:textId="65BCAD4F" w:rsidR="00B65A69" w:rsidRPr="00B471DB" w:rsidRDefault="00B65A69"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Unique mobile subscriptions</w:t>
            </w:r>
            <w:r w:rsidR="009E333D" w:rsidRPr="00B471DB">
              <w:rPr>
                <w:sz w:val="20"/>
                <w:szCs w:val="20"/>
              </w:rPr>
              <w:t xml:space="preserve"> (2021)</w:t>
            </w:r>
          </w:p>
        </w:tc>
        <w:tc>
          <w:tcPr>
            <w:tcW w:w="1701" w:type="dxa"/>
            <w:tcMar>
              <w:right w:w="170" w:type="dxa"/>
            </w:tcMar>
          </w:tcPr>
          <w:p w14:paraId="15582AAC" w14:textId="54927089" w:rsidR="00B65A69" w:rsidRPr="00B471DB" w:rsidRDefault="007731E8"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2,</w:t>
            </w:r>
            <w:r w:rsidR="009E333D" w:rsidRPr="00B471DB">
              <w:rPr>
                <w:rFonts w:asciiTheme="minorHAnsi" w:hAnsiTheme="minorHAnsi" w:cstheme="minorHAnsi"/>
                <w:sz w:val="20"/>
                <w:szCs w:val="20"/>
              </w:rPr>
              <w:t>803</w:t>
            </w:r>
            <w:r w:rsidRPr="00B471DB">
              <w:rPr>
                <w:rFonts w:asciiTheme="minorHAnsi" w:hAnsiTheme="minorHAnsi" w:cstheme="minorHAnsi"/>
                <w:sz w:val="20"/>
                <w:szCs w:val="20"/>
              </w:rPr>
              <w:t>,</w:t>
            </w:r>
            <w:r w:rsidR="000A58BC" w:rsidRPr="00B471DB">
              <w:rPr>
                <w:rFonts w:asciiTheme="minorHAnsi" w:hAnsiTheme="minorHAnsi" w:cstheme="minorHAnsi"/>
                <w:sz w:val="20"/>
                <w:szCs w:val="20"/>
              </w:rPr>
              <w:t>920</w:t>
            </w:r>
          </w:p>
        </w:tc>
      </w:tr>
      <w:tr w:rsidR="00B65A69" w:rsidRPr="00B471DB" w14:paraId="676CF6FB" w14:textId="77777777" w:rsidTr="007D4826">
        <w:trPr>
          <w:jc w:val="center"/>
        </w:trPr>
        <w:tc>
          <w:tcPr>
            <w:tcW w:w="6091" w:type="dxa"/>
          </w:tcPr>
          <w:p w14:paraId="4D794EAF" w14:textId="555168F5" w:rsidR="00B65A69" w:rsidRPr="00B471DB" w:rsidRDefault="00B65A69"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Mobile subscriber penetration rate (% of pop)</w:t>
            </w:r>
          </w:p>
        </w:tc>
        <w:tc>
          <w:tcPr>
            <w:tcW w:w="1701" w:type="dxa"/>
            <w:tcMar>
              <w:right w:w="170" w:type="dxa"/>
            </w:tcMar>
          </w:tcPr>
          <w:p w14:paraId="41CC5C3A" w14:textId="3051F89A" w:rsidR="00B65A69" w:rsidRPr="00B471DB" w:rsidRDefault="00114C02"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11</w:t>
            </w:r>
            <w:r w:rsidR="00887E7A" w:rsidRPr="00B471DB">
              <w:rPr>
                <w:rFonts w:asciiTheme="minorHAnsi" w:hAnsiTheme="minorHAnsi" w:cstheme="minorHAnsi"/>
                <w:sz w:val="20"/>
                <w:szCs w:val="20"/>
              </w:rPr>
              <w:t>3</w:t>
            </w:r>
          </w:p>
        </w:tc>
      </w:tr>
      <w:tr w:rsidR="00B65A69" w:rsidRPr="00B471DB" w14:paraId="095D1A42" w14:textId="77777777" w:rsidTr="007D4826">
        <w:trPr>
          <w:jc w:val="center"/>
        </w:trPr>
        <w:tc>
          <w:tcPr>
            <w:tcW w:w="6091" w:type="dxa"/>
          </w:tcPr>
          <w:p w14:paraId="2F9ED590" w14:textId="3BBF2F21" w:rsidR="00B65A69" w:rsidRPr="00B471DB" w:rsidRDefault="00B65A69"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Pre-paid connections (% of all mobile connections)</w:t>
            </w:r>
            <w:r w:rsidRPr="00B471DB">
              <w:rPr>
                <w:rStyle w:val="FootnoteReference"/>
                <w:sz w:val="20"/>
                <w:szCs w:val="20"/>
              </w:rPr>
              <w:t xml:space="preserve"> </w:t>
            </w:r>
          </w:p>
        </w:tc>
        <w:tc>
          <w:tcPr>
            <w:tcW w:w="1701" w:type="dxa"/>
            <w:tcMar>
              <w:right w:w="170" w:type="dxa"/>
            </w:tcMar>
          </w:tcPr>
          <w:p w14:paraId="238E8BF9" w14:textId="34663EC2" w:rsidR="00B65A69" w:rsidRPr="00B471DB" w:rsidRDefault="00B65A69"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96</w:t>
            </w:r>
          </w:p>
        </w:tc>
      </w:tr>
      <w:tr w:rsidR="00B65A69" w:rsidRPr="00B471DB" w14:paraId="048683AD" w14:textId="77777777" w:rsidTr="007D4826">
        <w:trPr>
          <w:jc w:val="center"/>
        </w:trPr>
        <w:tc>
          <w:tcPr>
            <w:tcW w:w="6091" w:type="dxa"/>
          </w:tcPr>
          <w:p w14:paraId="5A4BF34B" w14:textId="786023CF" w:rsidR="00B65A69" w:rsidRPr="00B471DB" w:rsidRDefault="00B65A69"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Mobile broadband sub penetration rate (% of pop)</w:t>
            </w:r>
          </w:p>
        </w:tc>
        <w:tc>
          <w:tcPr>
            <w:tcW w:w="1701" w:type="dxa"/>
            <w:tcMar>
              <w:right w:w="170" w:type="dxa"/>
            </w:tcMar>
          </w:tcPr>
          <w:p w14:paraId="2EC1649B" w14:textId="4CDE7F99" w:rsidR="00B65A69" w:rsidRPr="00B471DB" w:rsidRDefault="00D5306D" w:rsidP="006B7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60.1</w:t>
            </w:r>
          </w:p>
        </w:tc>
      </w:tr>
      <w:tr w:rsidR="00B65A69" w:rsidRPr="00B471DB" w14:paraId="5A1B3EC0" w14:textId="77777777" w:rsidTr="007D4826">
        <w:trPr>
          <w:jc w:val="center"/>
        </w:trPr>
        <w:tc>
          <w:tcPr>
            <w:tcW w:w="6091" w:type="dxa"/>
            <w:shd w:val="clear" w:color="auto" w:fill="0070C0"/>
          </w:tcPr>
          <w:p w14:paraId="0AFEAF8B" w14:textId="632FF347" w:rsidR="00B65A69" w:rsidRPr="00B471DB" w:rsidRDefault="00B65A69" w:rsidP="00385782">
            <w:pPr>
              <w:jc w:val="left"/>
              <w:rPr>
                <w:b/>
                <w:bCs/>
                <w:color w:val="FFFFFF" w:themeColor="background1"/>
                <w:sz w:val="20"/>
                <w:szCs w:val="20"/>
              </w:rPr>
            </w:pPr>
            <w:r w:rsidRPr="00B471DB">
              <w:rPr>
                <w:b/>
                <w:bCs/>
                <w:color w:val="FFFFFF" w:themeColor="background1"/>
                <w:sz w:val="20"/>
                <w:szCs w:val="20"/>
              </w:rPr>
              <w:t>Other Internet Usage Statistics</w:t>
            </w:r>
          </w:p>
        </w:tc>
        <w:tc>
          <w:tcPr>
            <w:tcW w:w="1701" w:type="dxa"/>
            <w:shd w:val="clear" w:color="auto" w:fill="0070C0"/>
          </w:tcPr>
          <w:p w14:paraId="2CCADAA7" w14:textId="77777777" w:rsidR="00B65A69" w:rsidRPr="00B471DB" w:rsidRDefault="00B65A69" w:rsidP="00385782">
            <w:pPr>
              <w:jc w:val="center"/>
              <w:rPr>
                <w:rFonts w:asciiTheme="minorHAnsi" w:hAnsiTheme="minorHAnsi" w:cstheme="minorHAnsi"/>
                <w:b/>
                <w:bCs/>
                <w:color w:val="FFFFFF" w:themeColor="background1"/>
                <w:sz w:val="20"/>
                <w:szCs w:val="20"/>
              </w:rPr>
            </w:pPr>
          </w:p>
        </w:tc>
      </w:tr>
      <w:tr w:rsidR="00B65A69" w:rsidRPr="00B471DB" w14:paraId="783EE622" w14:textId="77777777" w:rsidTr="007D4826">
        <w:trPr>
          <w:jc w:val="center"/>
        </w:trPr>
        <w:tc>
          <w:tcPr>
            <w:tcW w:w="6091" w:type="dxa"/>
          </w:tcPr>
          <w:p w14:paraId="48B0C679" w14:textId="0219DF48"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Individuals using the Internet (%)</w:t>
            </w:r>
          </w:p>
        </w:tc>
        <w:tc>
          <w:tcPr>
            <w:tcW w:w="1701" w:type="dxa"/>
            <w:tcMar>
              <w:right w:w="170" w:type="dxa"/>
            </w:tcMar>
          </w:tcPr>
          <w:p w14:paraId="40BADD6F" w14:textId="73D3F5EC" w:rsidR="00B65A69" w:rsidRPr="00B471DB" w:rsidRDefault="00BE031D"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54.2</w:t>
            </w:r>
          </w:p>
        </w:tc>
      </w:tr>
      <w:tr w:rsidR="00B65A69" w:rsidRPr="00B471DB" w14:paraId="6891C18A" w14:textId="77777777" w:rsidTr="007D4826">
        <w:trPr>
          <w:jc w:val="center"/>
        </w:trPr>
        <w:tc>
          <w:tcPr>
            <w:tcW w:w="6091" w:type="dxa"/>
          </w:tcPr>
          <w:p w14:paraId="200F994C" w14:textId="3D1260A1"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Households with a laptop/desktop computer or tablet (%)</w:t>
            </w:r>
          </w:p>
        </w:tc>
        <w:tc>
          <w:tcPr>
            <w:tcW w:w="1701" w:type="dxa"/>
            <w:tcMar>
              <w:right w:w="170" w:type="dxa"/>
            </w:tcMar>
          </w:tcPr>
          <w:p w14:paraId="1178A9B1" w14:textId="3874C197" w:rsidR="00B65A69" w:rsidRPr="00B471DB" w:rsidRDefault="009A24FE"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18.9</w:t>
            </w:r>
          </w:p>
        </w:tc>
      </w:tr>
      <w:tr w:rsidR="00B65A69" w:rsidRPr="00B471DB" w14:paraId="565CF514" w14:textId="77777777" w:rsidTr="007D4826">
        <w:trPr>
          <w:jc w:val="center"/>
        </w:trPr>
        <w:tc>
          <w:tcPr>
            <w:tcW w:w="6091" w:type="dxa"/>
          </w:tcPr>
          <w:p w14:paraId="3C2FDC35" w14:textId="3DFD8733"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International bandwidth per user (kbit/s)</w:t>
            </w:r>
          </w:p>
        </w:tc>
        <w:tc>
          <w:tcPr>
            <w:tcW w:w="1701" w:type="dxa"/>
            <w:tcMar>
              <w:right w:w="170" w:type="dxa"/>
            </w:tcMar>
          </w:tcPr>
          <w:p w14:paraId="131FA1AB" w14:textId="054D4F29"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93</w:t>
            </w:r>
          </w:p>
        </w:tc>
      </w:tr>
      <w:tr w:rsidR="00B65A69" w:rsidRPr="00B471DB" w14:paraId="3F474BBD" w14:textId="77777777" w:rsidTr="007D4826">
        <w:trPr>
          <w:jc w:val="center"/>
        </w:trPr>
        <w:tc>
          <w:tcPr>
            <w:tcW w:w="6091" w:type="dxa"/>
          </w:tcPr>
          <w:p w14:paraId="5DBBE105" w14:textId="3B407F23"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Number of Internet service providers (ISPs)</w:t>
            </w:r>
          </w:p>
        </w:tc>
        <w:tc>
          <w:tcPr>
            <w:tcW w:w="1701" w:type="dxa"/>
            <w:tcMar>
              <w:right w:w="170" w:type="dxa"/>
            </w:tcMar>
          </w:tcPr>
          <w:p w14:paraId="23E8549D" w14:textId="68AD9CBD" w:rsidR="00B65A69" w:rsidRPr="00B471DB" w:rsidRDefault="00814894"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8</w:t>
            </w:r>
          </w:p>
        </w:tc>
      </w:tr>
      <w:tr w:rsidR="00B65A69" w:rsidRPr="00B471DB" w14:paraId="2D7531DE" w14:textId="77777777" w:rsidTr="007D4826">
        <w:trPr>
          <w:jc w:val="center"/>
        </w:trPr>
        <w:tc>
          <w:tcPr>
            <w:tcW w:w="6091" w:type="dxa"/>
          </w:tcPr>
          <w:p w14:paraId="5933E6C8" w14:textId="69ECF289"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Number of Internet Exchange Points (IXPs)</w:t>
            </w:r>
          </w:p>
        </w:tc>
        <w:tc>
          <w:tcPr>
            <w:tcW w:w="1701" w:type="dxa"/>
            <w:tcMar>
              <w:right w:w="170" w:type="dxa"/>
            </w:tcMar>
          </w:tcPr>
          <w:p w14:paraId="485985F7" w14:textId="6D211595" w:rsidR="00B65A69" w:rsidRPr="00B471DB" w:rsidRDefault="00963DBD"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1</w:t>
            </w:r>
          </w:p>
        </w:tc>
      </w:tr>
      <w:tr w:rsidR="00B65A69" w:rsidRPr="00B471DB" w14:paraId="5269FDAC" w14:textId="77777777" w:rsidTr="007D4826">
        <w:trPr>
          <w:jc w:val="center"/>
        </w:trPr>
        <w:tc>
          <w:tcPr>
            <w:tcW w:w="6091" w:type="dxa"/>
            <w:shd w:val="clear" w:color="auto" w:fill="0070C0"/>
          </w:tcPr>
          <w:p w14:paraId="17011ADF" w14:textId="24DB46F9" w:rsidR="00B65A69" w:rsidRPr="00B471DB" w:rsidRDefault="00B65A69" w:rsidP="00385782">
            <w:pPr>
              <w:jc w:val="left"/>
              <w:rPr>
                <w:b/>
                <w:bCs/>
                <w:color w:val="FFFFFF" w:themeColor="background1"/>
                <w:sz w:val="20"/>
                <w:szCs w:val="20"/>
              </w:rPr>
            </w:pPr>
            <w:r w:rsidRPr="00B471DB">
              <w:rPr>
                <w:b/>
                <w:bCs/>
                <w:color w:val="FFFFFF" w:themeColor="background1"/>
                <w:sz w:val="20"/>
                <w:szCs w:val="20"/>
              </w:rPr>
              <w:t xml:space="preserve">Fixed Broadband </w:t>
            </w:r>
          </w:p>
        </w:tc>
        <w:tc>
          <w:tcPr>
            <w:tcW w:w="1701" w:type="dxa"/>
            <w:shd w:val="clear" w:color="auto" w:fill="0070C0"/>
          </w:tcPr>
          <w:p w14:paraId="19FF161A" w14:textId="529FBA81" w:rsidR="00B65A69" w:rsidRPr="00B471DB" w:rsidRDefault="00B65A69" w:rsidP="00385782">
            <w:pPr>
              <w:jc w:val="center"/>
              <w:rPr>
                <w:rFonts w:asciiTheme="minorHAnsi" w:hAnsiTheme="minorHAnsi" w:cstheme="minorHAnsi"/>
                <w:b/>
                <w:bCs/>
                <w:color w:val="FFFFFF" w:themeColor="background1"/>
                <w:sz w:val="20"/>
                <w:szCs w:val="20"/>
              </w:rPr>
            </w:pPr>
            <w:r w:rsidRPr="00B471DB">
              <w:rPr>
                <w:rFonts w:asciiTheme="minorHAnsi" w:hAnsiTheme="minorHAnsi" w:cstheme="minorHAnsi"/>
                <w:b/>
                <w:bCs/>
                <w:color w:val="FFFFFF" w:themeColor="background1"/>
                <w:sz w:val="20"/>
                <w:szCs w:val="20"/>
              </w:rPr>
              <w:t>% of Total</w:t>
            </w:r>
          </w:p>
        </w:tc>
      </w:tr>
      <w:tr w:rsidR="00B65A69" w:rsidRPr="00B471DB" w14:paraId="64E7424E" w14:textId="77777777" w:rsidTr="007D4826">
        <w:trPr>
          <w:jc w:val="center"/>
        </w:trPr>
        <w:tc>
          <w:tcPr>
            <w:tcW w:w="6091" w:type="dxa"/>
          </w:tcPr>
          <w:p w14:paraId="75321BEE" w14:textId="537F0EF6" w:rsidR="00B65A69" w:rsidRPr="00B471DB" w:rsidRDefault="00B65A69"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Fixed broadband subs as % of population</w:t>
            </w:r>
          </w:p>
        </w:tc>
        <w:tc>
          <w:tcPr>
            <w:tcW w:w="1701" w:type="dxa"/>
            <w:tcMar>
              <w:right w:w="170" w:type="dxa"/>
            </w:tcMar>
          </w:tcPr>
          <w:p w14:paraId="597C215A" w14:textId="2BD0D5AD" w:rsidR="00B65A69" w:rsidRPr="00B471DB" w:rsidRDefault="002F3F9D" w:rsidP="0038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0.</w:t>
            </w:r>
            <w:r w:rsidR="00E20A29" w:rsidRPr="00B471DB">
              <w:rPr>
                <w:rFonts w:asciiTheme="minorHAnsi" w:hAnsiTheme="minorHAnsi" w:cstheme="minorHAnsi"/>
                <w:sz w:val="20"/>
                <w:szCs w:val="20"/>
              </w:rPr>
              <w:t>216</w:t>
            </w:r>
          </w:p>
        </w:tc>
      </w:tr>
      <w:tr w:rsidR="00B65A69" w:rsidRPr="00B471DB" w14:paraId="03D49879" w14:textId="77777777" w:rsidTr="007D4826">
        <w:tblPrEx>
          <w:jc w:val="left"/>
        </w:tblPrEx>
        <w:tc>
          <w:tcPr>
            <w:tcW w:w="6091" w:type="dxa"/>
            <w:shd w:val="clear" w:color="auto" w:fill="4472C4" w:themeFill="accent1"/>
          </w:tcPr>
          <w:p w14:paraId="11F901AB" w14:textId="77777777" w:rsidR="00B65A69" w:rsidRPr="00B471DB" w:rsidRDefault="00B65A69" w:rsidP="001C0335">
            <w:pPr>
              <w:jc w:val="left"/>
              <w:rPr>
                <w:b/>
                <w:bCs/>
                <w:color w:val="FFFFFF" w:themeColor="background1"/>
                <w:sz w:val="20"/>
                <w:szCs w:val="20"/>
              </w:rPr>
            </w:pPr>
            <w:r w:rsidRPr="00B471DB">
              <w:rPr>
                <w:b/>
                <w:bCs/>
                <w:color w:val="FFFFFF" w:themeColor="background1"/>
                <w:sz w:val="20"/>
                <w:szCs w:val="20"/>
              </w:rPr>
              <w:t>Fixed Line Subscribers</w:t>
            </w:r>
          </w:p>
        </w:tc>
        <w:tc>
          <w:tcPr>
            <w:tcW w:w="1701" w:type="dxa"/>
            <w:shd w:val="clear" w:color="auto" w:fill="4472C4" w:themeFill="accent1"/>
          </w:tcPr>
          <w:p w14:paraId="5D46E539" w14:textId="77777777" w:rsidR="00B65A69" w:rsidRPr="00B471DB" w:rsidRDefault="00B65A69" w:rsidP="001C0335">
            <w:pPr>
              <w:jc w:val="center"/>
              <w:rPr>
                <w:rFonts w:asciiTheme="minorHAnsi" w:hAnsiTheme="minorHAnsi" w:cstheme="minorHAnsi"/>
                <w:b/>
                <w:bCs/>
                <w:color w:val="FFFFFF" w:themeColor="background1"/>
                <w:sz w:val="20"/>
                <w:szCs w:val="20"/>
              </w:rPr>
            </w:pPr>
          </w:p>
        </w:tc>
      </w:tr>
      <w:tr w:rsidR="00B65A69" w:rsidRPr="00B471DB" w14:paraId="5CBDF396" w14:textId="77777777" w:rsidTr="007D4826">
        <w:tblPrEx>
          <w:jc w:val="left"/>
        </w:tblPrEx>
        <w:tc>
          <w:tcPr>
            <w:tcW w:w="6091" w:type="dxa"/>
          </w:tcPr>
          <w:p w14:paraId="3FB968F7" w14:textId="77777777" w:rsidR="00B65A69" w:rsidRPr="00B471DB" w:rsidRDefault="00B65A69" w:rsidP="001C0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Fixed line sub penetration rate (% of pop)</w:t>
            </w:r>
          </w:p>
        </w:tc>
        <w:tc>
          <w:tcPr>
            <w:tcW w:w="1701" w:type="dxa"/>
          </w:tcPr>
          <w:p w14:paraId="65E9FDE4" w14:textId="49E98D14" w:rsidR="00B65A69" w:rsidRPr="00B471DB" w:rsidRDefault="00F41919" w:rsidP="001C0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2</w:t>
            </w:r>
          </w:p>
        </w:tc>
      </w:tr>
      <w:tr w:rsidR="00B65A69" w:rsidRPr="00B471DB" w14:paraId="45DE3EF5" w14:textId="77777777" w:rsidTr="007D4826">
        <w:tblPrEx>
          <w:jc w:val="left"/>
        </w:tblPrEx>
        <w:tc>
          <w:tcPr>
            <w:tcW w:w="6091" w:type="dxa"/>
            <w:shd w:val="clear" w:color="auto" w:fill="4472C4" w:themeFill="accent1"/>
          </w:tcPr>
          <w:p w14:paraId="55A8A5E2" w14:textId="01CF89AC" w:rsidR="00B65A69" w:rsidRPr="00B471DB" w:rsidRDefault="00B65A69" w:rsidP="0084255E">
            <w:pPr>
              <w:jc w:val="left"/>
              <w:rPr>
                <w:b/>
                <w:bCs/>
                <w:color w:val="FFFFFF" w:themeColor="background1"/>
                <w:sz w:val="20"/>
                <w:szCs w:val="20"/>
              </w:rPr>
            </w:pPr>
            <w:r w:rsidRPr="00B471DB">
              <w:rPr>
                <w:b/>
                <w:bCs/>
                <w:color w:val="FFFFFF" w:themeColor="background1"/>
                <w:sz w:val="20"/>
                <w:szCs w:val="20"/>
              </w:rPr>
              <w:t>Social Media Use</w:t>
            </w:r>
            <w:r w:rsidR="004638EC" w:rsidRPr="0045782B">
              <w:rPr>
                <w:rStyle w:val="FootnoteReference"/>
              </w:rPr>
              <w:footnoteReference w:id="66"/>
            </w:r>
          </w:p>
        </w:tc>
        <w:tc>
          <w:tcPr>
            <w:tcW w:w="1701" w:type="dxa"/>
            <w:shd w:val="clear" w:color="auto" w:fill="4472C4" w:themeFill="accent1"/>
          </w:tcPr>
          <w:p w14:paraId="48998DB5" w14:textId="77777777" w:rsidR="00B65A69" w:rsidRPr="00B471DB" w:rsidRDefault="00B65A69" w:rsidP="0084255E">
            <w:pPr>
              <w:jc w:val="center"/>
              <w:rPr>
                <w:rFonts w:asciiTheme="minorHAnsi" w:hAnsiTheme="minorHAnsi" w:cstheme="minorHAnsi"/>
                <w:b/>
                <w:bCs/>
                <w:color w:val="FFFFFF" w:themeColor="background1"/>
                <w:sz w:val="20"/>
                <w:szCs w:val="20"/>
              </w:rPr>
            </w:pPr>
          </w:p>
        </w:tc>
      </w:tr>
      <w:tr w:rsidR="00B65A69" w:rsidRPr="00B471DB" w14:paraId="42686D29" w14:textId="77777777" w:rsidTr="007D4826">
        <w:tblPrEx>
          <w:jc w:val="left"/>
        </w:tblPrEx>
        <w:tc>
          <w:tcPr>
            <w:tcW w:w="6091" w:type="dxa"/>
          </w:tcPr>
          <w:p w14:paraId="015675D6" w14:textId="345A5EF0" w:rsidR="00B65A69" w:rsidRPr="00B471DB" w:rsidRDefault="00B65A69" w:rsidP="0084255E">
            <w:pPr>
              <w:jc w:val="left"/>
              <w:rPr>
                <w:color w:val="FFFFFF" w:themeColor="background1"/>
                <w:sz w:val="20"/>
                <w:szCs w:val="20"/>
              </w:rPr>
            </w:pPr>
            <w:r w:rsidRPr="00B471DB">
              <w:rPr>
                <w:sz w:val="20"/>
                <w:szCs w:val="20"/>
              </w:rPr>
              <w:t>Active social media users (% of pop)</w:t>
            </w:r>
          </w:p>
        </w:tc>
        <w:tc>
          <w:tcPr>
            <w:tcW w:w="1701" w:type="dxa"/>
          </w:tcPr>
          <w:p w14:paraId="4B276C09" w14:textId="26692D3E" w:rsidR="00B65A69" w:rsidRPr="00B471DB" w:rsidRDefault="00C909BB" w:rsidP="0084255E">
            <w:pPr>
              <w:jc w:val="center"/>
              <w:rPr>
                <w:rFonts w:asciiTheme="minorHAnsi" w:hAnsiTheme="minorHAnsi" w:cstheme="minorHAnsi"/>
                <w:sz w:val="20"/>
                <w:szCs w:val="20"/>
              </w:rPr>
            </w:pPr>
            <w:r w:rsidRPr="00B471DB">
              <w:rPr>
                <w:rFonts w:asciiTheme="minorHAnsi" w:hAnsiTheme="minorHAnsi" w:cstheme="minorHAnsi"/>
                <w:sz w:val="20"/>
                <w:szCs w:val="20"/>
              </w:rPr>
              <w:t>14</w:t>
            </w:r>
            <w:r w:rsidR="00165CE5" w:rsidRPr="00B471DB">
              <w:rPr>
                <w:rFonts w:asciiTheme="minorHAnsi" w:hAnsiTheme="minorHAnsi" w:cstheme="minorHAnsi"/>
                <w:sz w:val="20"/>
                <w:szCs w:val="20"/>
              </w:rPr>
              <w:t>.</w:t>
            </w:r>
            <w:r w:rsidRPr="00B471DB">
              <w:rPr>
                <w:rFonts w:asciiTheme="minorHAnsi" w:hAnsiTheme="minorHAnsi" w:cstheme="minorHAnsi"/>
                <w:sz w:val="20"/>
                <w:szCs w:val="20"/>
              </w:rPr>
              <w:t>4</w:t>
            </w:r>
          </w:p>
        </w:tc>
      </w:tr>
      <w:tr w:rsidR="00B65A69" w:rsidRPr="00B471DB" w14:paraId="417568F7" w14:textId="77777777" w:rsidTr="007D4826">
        <w:tblPrEx>
          <w:jc w:val="left"/>
        </w:tblPrEx>
        <w:tc>
          <w:tcPr>
            <w:tcW w:w="6091" w:type="dxa"/>
          </w:tcPr>
          <w:p w14:paraId="3B309A35" w14:textId="79C616F8" w:rsidR="00B65A69" w:rsidRPr="00B471DB" w:rsidRDefault="00B65A69" w:rsidP="0084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Facebook users (% of pop)</w:t>
            </w:r>
          </w:p>
        </w:tc>
        <w:tc>
          <w:tcPr>
            <w:tcW w:w="1701" w:type="dxa"/>
          </w:tcPr>
          <w:p w14:paraId="475921E0" w14:textId="0A49700C" w:rsidR="00B65A69" w:rsidRPr="00B471DB" w:rsidRDefault="00B20CE7" w:rsidP="0084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14</w:t>
            </w:r>
            <w:r w:rsidR="00582B32" w:rsidRPr="00B471DB">
              <w:rPr>
                <w:rFonts w:asciiTheme="minorHAnsi" w:hAnsiTheme="minorHAnsi" w:cstheme="minorHAnsi"/>
                <w:sz w:val="20"/>
                <w:szCs w:val="20"/>
              </w:rPr>
              <w:t>.</w:t>
            </w:r>
            <w:r w:rsidRPr="00B471DB">
              <w:rPr>
                <w:rFonts w:asciiTheme="minorHAnsi" w:hAnsiTheme="minorHAnsi" w:cstheme="minorHAnsi"/>
                <w:sz w:val="20"/>
                <w:szCs w:val="20"/>
              </w:rPr>
              <w:t>4</w:t>
            </w:r>
          </w:p>
        </w:tc>
      </w:tr>
      <w:tr w:rsidR="00B65A69" w:rsidRPr="00B471DB" w14:paraId="5AC4EE4A" w14:textId="77777777" w:rsidTr="007D4826">
        <w:tblPrEx>
          <w:jc w:val="left"/>
        </w:tblPrEx>
        <w:tc>
          <w:tcPr>
            <w:tcW w:w="6091" w:type="dxa"/>
          </w:tcPr>
          <w:p w14:paraId="5048965C" w14:textId="5D61D8AB" w:rsidR="00B65A69" w:rsidRPr="00B471DB" w:rsidRDefault="00B65A69" w:rsidP="0084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Instagram users (% of pop)</w:t>
            </w:r>
          </w:p>
        </w:tc>
        <w:tc>
          <w:tcPr>
            <w:tcW w:w="1701" w:type="dxa"/>
          </w:tcPr>
          <w:p w14:paraId="71335EB3" w14:textId="1B69E995" w:rsidR="00B65A69" w:rsidRPr="00B471DB" w:rsidRDefault="00582B32" w:rsidP="0084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5.</w:t>
            </w:r>
            <w:r w:rsidR="00A52480" w:rsidRPr="00B471DB">
              <w:rPr>
                <w:rFonts w:asciiTheme="minorHAnsi" w:hAnsiTheme="minorHAnsi" w:cstheme="minorHAnsi"/>
                <w:sz w:val="20"/>
                <w:szCs w:val="20"/>
              </w:rPr>
              <w:t>4</w:t>
            </w:r>
          </w:p>
        </w:tc>
      </w:tr>
      <w:tr w:rsidR="00B65A69" w:rsidRPr="00B471DB" w14:paraId="06BF61CE" w14:textId="77777777" w:rsidTr="007D4826">
        <w:tblPrEx>
          <w:jc w:val="left"/>
        </w:tblPrEx>
        <w:tc>
          <w:tcPr>
            <w:tcW w:w="6091" w:type="dxa"/>
          </w:tcPr>
          <w:p w14:paraId="017D0B16" w14:textId="417BB6AB" w:rsidR="00B65A69" w:rsidRPr="00B471DB" w:rsidRDefault="00B65A69" w:rsidP="0084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r w:rsidRPr="00B471DB">
              <w:rPr>
                <w:sz w:val="20"/>
                <w:szCs w:val="20"/>
              </w:rPr>
              <w:t>Twitter</w:t>
            </w:r>
            <w:r w:rsidR="00AA09BD" w:rsidRPr="00B471DB">
              <w:rPr>
                <w:sz w:val="20"/>
                <w:szCs w:val="20"/>
              </w:rPr>
              <w:t xml:space="preserve"> (X)</w:t>
            </w:r>
            <w:r w:rsidRPr="00B471DB">
              <w:rPr>
                <w:sz w:val="20"/>
                <w:szCs w:val="20"/>
              </w:rPr>
              <w:t xml:space="preserve"> users (% of pop)</w:t>
            </w:r>
          </w:p>
        </w:tc>
        <w:tc>
          <w:tcPr>
            <w:tcW w:w="1701" w:type="dxa"/>
          </w:tcPr>
          <w:p w14:paraId="02656424" w14:textId="5D5DF24D" w:rsidR="00B65A69" w:rsidRPr="00B471DB" w:rsidRDefault="00BA0EDE" w:rsidP="0084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20"/>
                <w:szCs w:val="20"/>
              </w:rPr>
            </w:pPr>
            <w:r w:rsidRPr="00B471DB">
              <w:rPr>
                <w:rFonts w:asciiTheme="minorHAnsi" w:hAnsiTheme="minorHAnsi" w:cstheme="minorHAnsi"/>
                <w:sz w:val="20"/>
                <w:szCs w:val="20"/>
              </w:rPr>
              <w:t>1.3</w:t>
            </w:r>
          </w:p>
        </w:tc>
      </w:tr>
    </w:tbl>
    <w:p w14:paraId="3E8C459C" w14:textId="77777777" w:rsidR="00492BC2" w:rsidRPr="00DE1BD4" w:rsidRDefault="00492BC2" w:rsidP="00492BC2">
      <w:pPr>
        <w:pStyle w:val="Heading2"/>
        <w:jc w:val="left"/>
      </w:pPr>
      <w:bookmarkStart w:id="265" w:name="_Toc90825857"/>
      <w:bookmarkStart w:id="266" w:name="_Toc90825989"/>
      <w:bookmarkStart w:id="267" w:name="_Toc91172644"/>
      <w:bookmarkStart w:id="268" w:name="_Toc91185531"/>
      <w:bookmarkStart w:id="269" w:name="_Toc181885800"/>
      <w:bookmarkStart w:id="270" w:name="_Toc89608440"/>
      <w:bookmarkStart w:id="271" w:name="_Toc90825997"/>
      <w:bookmarkStart w:id="272" w:name="_Toc91172652"/>
      <w:bookmarkStart w:id="273" w:name="_Toc91185539"/>
      <w:r w:rsidRPr="00DE1BD4">
        <w:t>Domestic Network</w:t>
      </w:r>
      <w:bookmarkStart w:id="274" w:name="_Ref115335793"/>
      <w:bookmarkEnd w:id="265"/>
      <w:bookmarkEnd w:id="266"/>
      <w:bookmarkEnd w:id="267"/>
      <w:bookmarkEnd w:id="268"/>
      <w:r w:rsidRPr="00DE1BD4">
        <w:t>s Overview</w:t>
      </w:r>
      <w:bookmarkStart w:id="275" w:name="_Ref116124874"/>
      <w:bookmarkStart w:id="276" w:name="_Ref116124887"/>
      <w:bookmarkStart w:id="277" w:name="_Ref116219587"/>
      <w:bookmarkStart w:id="278" w:name="_Ref116219574"/>
      <w:bookmarkStart w:id="279" w:name="_Ref116219633"/>
      <w:bookmarkEnd w:id="269"/>
    </w:p>
    <w:p w14:paraId="265740CC" w14:textId="5F13E6C8" w:rsidR="00492BC2" w:rsidRPr="00DE1BD4" w:rsidRDefault="00492BC2" w:rsidP="00492BC2">
      <w:pPr>
        <w:rPr>
          <w:rFonts w:asciiTheme="minorHAnsi" w:eastAsia="Times New Roman" w:hAnsiTheme="minorHAnsi" w:cstheme="minorHAnsi"/>
          <w:lang w:eastAsia="en-AU"/>
        </w:rPr>
      </w:pPr>
      <w:r w:rsidRPr="00DE1BD4">
        <w:rPr>
          <w:rStyle w:val="normaltextrun"/>
          <w:rFonts w:asciiTheme="minorHAnsi" w:hAnsiTheme="minorHAnsi" w:cstheme="minorHAnsi"/>
        </w:rPr>
        <w:t xml:space="preserve">Domestic networks are those networks available for use within the borders of </w:t>
      </w:r>
      <w:r w:rsidR="00680259">
        <w:rPr>
          <w:rStyle w:val="normaltextrun"/>
          <w:rFonts w:asciiTheme="minorHAnsi" w:hAnsiTheme="minorHAnsi" w:cstheme="minorHAnsi"/>
        </w:rPr>
        <w:t>T</w:t>
      </w:r>
      <w:r w:rsidR="006962E5">
        <w:rPr>
          <w:rStyle w:val="normaltextrun"/>
          <w:rFonts w:asciiTheme="minorHAnsi" w:hAnsiTheme="minorHAnsi" w:cstheme="minorHAnsi"/>
        </w:rPr>
        <w:t>he Gambia</w:t>
      </w:r>
      <w:r w:rsidRPr="00DE1BD4">
        <w:rPr>
          <w:rStyle w:val="normaltextrun"/>
          <w:rFonts w:asciiTheme="minorHAnsi" w:hAnsiTheme="minorHAnsi" w:cstheme="minorHAnsi"/>
        </w:rPr>
        <w:t>.  These networks include</w:t>
      </w:r>
      <w:r w:rsidRPr="00DE1BD4">
        <w:rPr>
          <w:rStyle w:val="eop"/>
          <w:rFonts w:asciiTheme="minorHAnsi" w:hAnsiTheme="minorHAnsi" w:cstheme="minorHAnsi"/>
        </w:rPr>
        <w:t> </w:t>
      </w:r>
    </w:p>
    <w:p w14:paraId="7C5DA4C0" w14:textId="77777777" w:rsidR="00492BC2" w:rsidRPr="00DE1BD4" w:rsidRDefault="00492BC2" w:rsidP="00731ECE">
      <w:pPr>
        <w:pStyle w:val="ListParagraph"/>
        <w:numPr>
          <w:ilvl w:val="0"/>
          <w:numId w:val="21"/>
        </w:numPr>
        <w:rPr>
          <w:rFonts w:asciiTheme="minorHAnsi" w:hAnsiTheme="minorHAnsi" w:cstheme="minorHAnsi"/>
        </w:rPr>
      </w:pPr>
      <w:r w:rsidRPr="00DE1BD4">
        <w:rPr>
          <w:rStyle w:val="normaltextrun"/>
          <w:rFonts w:asciiTheme="minorHAnsi" w:hAnsiTheme="minorHAnsi" w:cstheme="minorHAnsi"/>
        </w:rPr>
        <w:t>Backhaul networks</w:t>
      </w:r>
      <w:r w:rsidRPr="00DE1BD4">
        <w:rPr>
          <w:rStyle w:val="eop"/>
          <w:rFonts w:asciiTheme="minorHAnsi" w:hAnsiTheme="minorHAnsi" w:cstheme="minorHAnsi"/>
        </w:rPr>
        <w:t> </w:t>
      </w:r>
    </w:p>
    <w:p w14:paraId="2F86675E" w14:textId="77777777" w:rsidR="00492BC2" w:rsidRPr="00DE1BD4" w:rsidRDefault="00492BC2" w:rsidP="00731ECE">
      <w:pPr>
        <w:pStyle w:val="ListParagraph"/>
        <w:numPr>
          <w:ilvl w:val="0"/>
          <w:numId w:val="21"/>
        </w:numPr>
        <w:rPr>
          <w:rStyle w:val="normaltextrun"/>
          <w:rFonts w:asciiTheme="minorHAnsi" w:hAnsiTheme="minorHAnsi" w:cstheme="minorHAnsi"/>
        </w:rPr>
      </w:pPr>
      <w:r w:rsidRPr="00DE1BD4">
        <w:rPr>
          <w:rStyle w:val="normaltextrun"/>
          <w:rFonts w:asciiTheme="minorHAnsi" w:hAnsiTheme="minorHAnsi" w:cstheme="minorHAnsi"/>
        </w:rPr>
        <w:t>Access networks</w:t>
      </w:r>
    </w:p>
    <w:p w14:paraId="52384050" w14:textId="77777777" w:rsidR="00492BC2" w:rsidRPr="00DE1BD4" w:rsidRDefault="00492BC2" w:rsidP="00731ECE">
      <w:pPr>
        <w:pStyle w:val="ListParagraph"/>
        <w:numPr>
          <w:ilvl w:val="0"/>
          <w:numId w:val="21"/>
        </w:numPr>
        <w:rPr>
          <w:rStyle w:val="normaltextrun"/>
          <w:rFonts w:asciiTheme="minorHAnsi" w:hAnsiTheme="minorHAnsi" w:cstheme="minorHAnsi"/>
        </w:rPr>
      </w:pPr>
      <w:r w:rsidRPr="00DE1BD4">
        <w:rPr>
          <w:rStyle w:val="normaltextrun"/>
          <w:rFonts w:asciiTheme="minorHAnsi" w:hAnsiTheme="minorHAnsi" w:cstheme="minorHAnsi"/>
        </w:rPr>
        <w:t>Mobile networks</w:t>
      </w:r>
    </w:p>
    <w:p w14:paraId="53081B9F" w14:textId="77777777" w:rsidR="00492BC2" w:rsidRPr="00DE1BD4" w:rsidRDefault="00492BC2" w:rsidP="00492BC2">
      <w:pPr>
        <w:pStyle w:val="Heading3"/>
      </w:pPr>
      <w:bookmarkStart w:id="280" w:name="_Toc181885801"/>
      <w:r w:rsidRPr="00DE1BD4">
        <w:t>Backhaul Networks</w:t>
      </w:r>
      <w:bookmarkEnd w:id="280"/>
    </w:p>
    <w:p w14:paraId="02C76FF0" w14:textId="670EB248" w:rsidR="00591567" w:rsidRDefault="00492BC2" w:rsidP="00492BC2">
      <w:pPr>
        <w:rPr>
          <w:rStyle w:val="normaltextrun"/>
          <w:rFonts w:asciiTheme="minorHAnsi" w:hAnsiTheme="minorHAnsi" w:cstheme="minorHAnsi"/>
        </w:rPr>
      </w:pPr>
      <w:r w:rsidRPr="00DE1BD4">
        <w:rPr>
          <w:rStyle w:val="normaltextrun"/>
          <w:rFonts w:asciiTheme="minorHAnsi" w:hAnsiTheme="minorHAnsi" w:cstheme="minorHAnsi"/>
        </w:rPr>
        <w:t xml:space="preserve">Backhaul networks within </w:t>
      </w:r>
      <w:r w:rsidR="001951A7" w:rsidRPr="00DE1BD4">
        <w:rPr>
          <w:rStyle w:val="normaltextrun"/>
          <w:rFonts w:asciiTheme="minorHAnsi" w:hAnsiTheme="minorHAnsi" w:cstheme="minorHAnsi"/>
        </w:rPr>
        <w:t>T</w:t>
      </w:r>
      <w:r w:rsidR="002B0D09">
        <w:rPr>
          <w:rStyle w:val="normaltextrun"/>
          <w:rFonts w:asciiTheme="minorHAnsi" w:hAnsiTheme="minorHAnsi" w:cstheme="minorHAnsi"/>
        </w:rPr>
        <w:t>he Gambia</w:t>
      </w:r>
      <w:r w:rsidRPr="00DE1BD4">
        <w:rPr>
          <w:rStyle w:val="normaltextrun"/>
          <w:rFonts w:asciiTheme="minorHAnsi" w:hAnsiTheme="minorHAnsi" w:cstheme="minorHAnsi"/>
        </w:rPr>
        <w:t xml:space="preserve"> </w:t>
      </w:r>
      <w:r w:rsidR="00E10967">
        <w:rPr>
          <w:rStyle w:val="normaltextrun"/>
          <w:rFonts w:asciiTheme="minorHAnsi" w:hAnsiTheme="minorHAnsi" w:cstheme="minorHAnsi"/>
        </w:rPr>
        <w:t xml:space="preserve">utilise both the ECOWAS Wide Area Network (ECOWAN) and the National Broadband Network (NBN) and </w:t>
      </w:r>
      <w:r w:rsidRPr="00DE1BD4">
        <w:rPr>
          <w:rStyle w:val="normaltextrun"/>
          <w:rFonts w:asciiTheme="minorHAnsi" w:hAnsiTheme="minorHAnsi" w:cstheme="minorHAnsi"/>
        </w:rPr>
        <w:t>are predominantly a combination of terrestrial fibre networks and microwave services</w:t>
      </w:r>
      <w:r w:rsidR="00E10967">
        <w:rPr>
          <w:rStyle w:val="normaltextrun"/>
          <w:rFonts w:asciiTheme="minorHAnsi" w:hAnsiTheme="minorHAnsi" w:cstheme="minorHAnsi"/>
        </w:rPr>
        <w:t>. Th</w:t>
      </w:r>
      <w:r w:rsidR="000A1DB2">
        <w:rPr>
          <w:rStyle w:val="normaltextrun"/>
          <w:rFonts w:asciiTheme="minorHAnsi" w:hAnsiTheme="minorHAnsi" w:cstheme="minorHAnsi"/>
        </w:rPr>
        <w:t>e backbone network is</w:t>
      </w:r>
      <w:r w:rsidRPr="00DE1BD4">
        <w:rPr>
          <w:rStyle w:val="normaltextrun"/>
          <w:rFonts w:asciiTheme="minorHAnsi" w:hAnsiTheme="minorHAnsi" w:cstheme="minorHAnsi"/>
        </w:rPr>
        <w:t xml:space="preserve"> provided</w:t>
      </w:r>
      <w:r w:rsidR="004963AC">
        <w:rPr>
          <w:rStyle w:val="normaltextrun"/>
          <w:rFonts w:asciiTheme="minorHAnsi" w:hAnsiTheme="minorHAnsi" w:cstheme="minorHAnsi"/>
        </w:rPr>
        <w:t xml:space="preserve"> as an open wholesale network</w:t>
      </w:r>
      <w:r w:rsidRPr="00DE1BD4">
        <w:rPr>
          <w:rStyle w:val="normaltextrun"/>
          <w:rFonts w:asciiTheme="minorHAnsi" w:hAnsiTheme="minorHAnsi" w:cstheme="minorHAnsi"/>
        </w:rPr>
        <w:t xml:space="preserve"> </w:t>
      </w:r>
      <w:r w:rsidR="000A1DB2">
        <w:rPr>
          <w:rStyle w:val="normaltextrun"/>
          <w:rFonts w:asciiTheme="minorHAnsi" w:hAnsiTheme="minorHAnsi" w:cstheme="minorHAnsi"/>
        </w:rPr>
        <w:t xml:space="preserve">managed </w:t>
      </w:r>
      <w:r w:rsidRPr="00DE1BD4">
        <w:rPr>
          <w:rStyle w:val="normaltextrun"/>
          <w:rFonts w:asciiTheme="minorHAnsi" w:hAnsiTheme="minorHAnsi" w:cstheme="minorHAnsi"/>
        </w:rPr>
        <w:t xml:space="preserve">by </w:t>
      </w:r>
      <w:r w:rsidR="002B0D09">
        <w:rPr>
          <w:rStyle w:val="normaltextrun"/>
          <w:rFonts w:asciiTheme="minorHAnsi" w:hAnsiTheme="minorHAnsi" w:cstheme="minorHAnsi"/>
        </w:rPr>
        <w:t>Gamtel</w:t>
      </w:r>
      <w:r w:rsidRPr="00DE1BD4">
        <w:rPr>
          <w:rStyle w:val="normaltextrun"/>
          <w:rFonts w:asciiTheme="minorHAnsi" w:hAnsiTheme="minorHAnsi" w:cstheme="minorHAnsi"/>
        </w:rPr>
        <w:t>. According to ITU’s Connectivity Infrastructure Maps</w:t>
      </w:r>
      <w:r w:rsidR="000F7EF8">
        <w:rPr>
          <w:rStyle w:val="normaltextrun"/>
          <w:rFonts w:asciiTheme="minorHAnsi" w:hAnsiTheme="minorHAnsi" w:cstheme="minorHAnsi"/>
        </w:rPr>
        <w:t>,</w:t>
      </w:r>
      <w:r w:rsidRPr="00DE1BD4">
        <w:rPr>
          <w:rStyle w:val="normaltextrun"/>
          <w:rFonts w:asciiTheme="minorHAnsi" w:hAnsiTheme="minorHAnsi" w:cstheme="minorHAnsi"/>
        </w:rPr>
        <w:t xml:space="preserve"> </w:t>
      </w:r>
      <w:r w:rsidR="00C176C1">
        <w:rPr>
          <w:rStyle w:val="normaltextrun"/>
          <w:rFonts w:asciiTheme="minorHAnsi" w:hAnsiTheme="minorHAnsi" w:cstheme="minorHAnsi"/>
        </w:rPr>
        <w:t xml:space="preserve">there is little data on infrastructure in </w:t>
      </w:r>
      <w:r w:rsidR="0079618C">
        <w:rPr>
          <w:rStyle w:val="normaltextrun"/>
          <w:rFonts w:asciiTheme="minorHAnsi" w:hAnsiTheme="minorHAnsi" w:cstheme="minorHAnsi"/>
        </w:rPr>
        <w:t>The Gambia</w:t>
      </w:r>
      <w:r w:rsidR="00AF2DB0">
        <w:rPr>
          <w:rStyle w:val="normaltextrun"/>
          <w:rFonts w:asciiTheme="minorHAnsi" w:hAnsiTheme="minorHAnsi" w:cstheme="minorHAnsi"/>
        </w:rPr>
        <w:t xml:space="preserve">, with </w:t>
      </w:r>
      <w:r w:rsidR="000F7EF8">
        <w:rPr>
          <w:rStyle w:val="normaltextrun"/>
          <w:rFonts w:asciiTheme="minorHAnsi" w:hAnsiTheme="minorHAnsi" w:cstheme="minorHAnsi"/>
        </w:rPr>
        <w:t xml:space="preserve">a figure of </w:t>
      </w:r>
      <w:r w:rsidRPr="00DE1BD4">
        <w:rPr>
          <w:rStyle w:val="normaltextrun"/>
          <w:rFonts w:asciiTheme="minorHAnsi" w:hAnsiTheme="minorHAnsi" w:cstheme="minorHAnsi"/>
        </w:rPr>
        <w:t xml:space="preserve">over </w:t>
      </w:r>
      <w:r w:rsidR="001855FB">
        <w:rPr>
          <w:rStyle w:val="normaltextrun"/>
          <w:rFonts w:asciiTheme="minorHAnsi" w:hAnsiTheme="minorHAnsi" w:cstheme="minorHAnsi"/>
        </w:rPr>
        <w:t>5</w:t>
      </w:r>
      <w:r w:rsidRPr="00DE1BD4">
        <w:rPr>
          <w:rStyle w:val="normaltextrun"/>
          <w:rFonts w:asciiTheme="minorHAnsi" w:hAnsiTheme="minorHAnsi" w:cstheme="minorHAnsi"/>
        </w:rPr>
        <w:t>00 kilometres of operational terrestrial fibre</w:t>
      </w:r>
      <w:r w:rsidR="000F7EF8">
        <w:rPr>
          <w:rStyle w:val="normaltextrun"/>
          <w:rFonts w:asciiTheme="minorHAnsi" w:hAnsiTheme="minorHAnsi" w:cstheme="minorHAnsi"/>
        </w:rPr>
        <w:t xml:space="preserve"> and </w:t>
      </w:r>
      <w:r w:rsidR="00891081">
        <w:rPr>
          <w:rStyle w:val="normaltextrun"/>
          <w:rFonts w:asciiTheme="minorHAnsi" w:hAnsiTheme="minorHAnsi" w:cstheme="minorHAnsi"/>
        </w:rPr>
        <w:t>no data for operational microwave networks</w:t>
      </w:r>
      <w:r w:rsidR="000F7EF8">
        <w:rPr>
          <w:rStyle w:val="normaltextrun"/>
          <w:rFonts w:asciiTheme="minorHAnsi" w:hAnsiTheme="minorHAnsi" w:cstheme="minorHAnsi"/>
        </w:rPr>
        <w:t>.</w:t>
      </w:r>
      <w:r w:rsidR="00891081">
        <w:rPr>
          <w:rStyle w:val="normaltextrun"/>
          <w:rFonts w:asciiTheme="minorHAnsi" w:hAnsiTheme="minorHAnsi" w:cstheme="minorHAnsi"/>
        </w:rPr>
        <w:t xml:space="preserve"> </w:t>
      </w:r>
      <w:r w:rsidR="007C6660">
        <w:rPr>
          <w:rStyle w:val="normaltextrun"/>
          <w:rFonts w:asciiTheme="minorHAnsi" w:hAnsiTheme="minorHAnsi" w:cstheme="minorHAnsi"/>
        </w:rPr>
        <w:t xml:space="preserve">The connectivity maps </w:t>
      </w:r>
      <w:r w:rsidR="00DA61AA">
        <w:rPr>
          <w:rStyle w:val="normaltextrun"/>
          <w:rFonts w:asciiTheme="minorHAnsi" w:hAnsiTheme="minorHAnsi" w:cstheme="minorHAnsi"/>
        </w:rPr>
        <w:t xml:space="preserve">do provide some </w:t>
      </w:r>
      <w:r w:rsidR="008A6986">
        <w:rPr>
          <w:rStyle w:val="normaltextrun"/>
          <w:rFonts w:asciiTheme="minorHAnsi" w:hAnsiTheme="minorHAnsi" w:cstheme="minorHAnsi"/>
        </w:rPr>
        <w:t>information,</w:t>
      </w:r>
      <w:r w:rsidR="00DA61AA">
        <w:rPr>
          <w:rStyle w:val="normaltextrun"/>
          <w:rFonts w:asciiTheme="minorHAnsi" w:hAnsiTheme="minorHAnsi" w:cstheme="minorHAnsi"/>
        </w:rPr>
        <w:t xml:space="preserve"> and it is </w:t>
      </w:r>
      <w:r w:rsidR="00891081">
        <w:rPr>
          <w:rStyle w:val="normaltextrun"/>
          <w:rFonts w:asciiTheme="minorHAnsi" w:hAnsiTheme="minorHAnsi" w:cstheme="minorHAnsi"/>
        </w:rPr>
        <w:t xml:space="preserve">expected that </w:t>
      </w:r>
      <w:r w:rsidR="00164964">
        <w:rPr>
          <w:rStyle w:val="normaltextrun"/>
          <w:rFonts w:asciiTheme="minorHAnsi" w:hAnsiTheme="minorHAnsi" w:cstheme="minorHAnsi"/>
        </w:rPr>
        <w:t>both fibre and microwave</w:t>
      </w:r>
      <w:r w:rsidR="00891081">
        <w:rPr>
          <w:rStyle w:val="normaltextrun"/>
          <w:rFonts w:asciiTheme="minorHAnsi" w:hAnsiTheme="minorHAnsi" w:cstheme="minorHAnsi"/>
        </w:rPr>
        <w:t xml:space="preserve"> services are used across the country</w:t>
      </w:r>
      <w:r w:rsidR="00DA61AA">
        <w:rPr>
          <w:rStyle w:val="normaltextrun"/>
          <w:rFonts w:asciiTheme="minorHAnsi" w:hAnsiTheme="minorHAnsi" w:cstheme="minorHAnsi"/>
        </w:rPr>
        <w:t xml:space="preserve">, so it is important to </w:t>
      </w:r>
      <w:r w:rsidR="00164964">
        <w:rPr>
          <w:rStyle w:val="normaltextrun"/>
          <w:rFonts w:asciiTheme="minorHAnsi" w:hAnsiTheme="minorHAnsi" w:cstheme="minorHAnsi"/>
        </w:rPr>
        <w:t>clarify and update this information</w:t>
      </w:r>
      <w:r w:rsidR="00AE2769">
        <w:rPr>
          <w:rStyle w:val="normaltextrun"/>
          <w:rFonts w:asciiTheme="minorHAnsi" w:hAnsiTheme="minorHAnsi" w:cstheme="minorHAnsi"/>
        </w:rPr>
        <w:t>.</w:t>
      </w:r>
      <w:r w:rsidRPr="00DE1BD4">
        <w:rPr>
          <w:rStyle w:val="normaltextrun"/>
          <w:rFonts w:asciiTheme="minorHAnsi" w:hAnsiTheme="minorHAnsi" w:cstheme="minorHAnsi"/>
        </w:rPr>
        <w:t xml:space="preserve"> </w:t>
      </w:r>
    </w:p>
    <w:p w14:paraId="1FBCEF0F" w14:textId="5E80FFC7" w:rsidR="0019501E" w:rsidRDefault="0019501E" w:rsidP="00492BC2">
      <w:pPr>
        <w:rPr>
          <w:rStyle w:val="normaltextrun"/>
          <w:rFonts w:asciiTheme="minorHAnsi" w:hAnsiTheme="minorHAnsi" w:cstheme="minorHAnsi"/>
        </w:rPr>
      </w:pPr>
      <w:r>
        <w:rPr>
          <w:rStyle w:val="normaltextrun"/>
          <w:rFonts w:asciiTheme="minorHAnsi" w:hAnsiTheme="minorHAnsi" w:cstheme="minorHAnsi"/>
        </w:rPr>
        <w:t xml:space="preserve">The Ministry of </w:t>
      </w:r>
      <w:r w:rsidR="003F3185">
        <w:rPr>
          <w:rStyle w:val="normaltextrun"/>
          <w:rFonts w:asciiTheme="minorHAnsi" w:hAnsiTheme="minorHAnsi" w:cstheme="minorHAnsi"/>
        </w:rPr>
        <w:t xml:space="preserve">Communications &amp; Digital Economy in a recent </w:t>
      </w:r>
      <w:r w:rsidR="00B83BF7">
        <w:rPr>
          <w:rStyle w:val="normaltextrun"/>
          <w:rFonts w:asciiTheme="minorHAnsi" w:hAnsiTheme="minorHAnsi" w:cstheme="minorHAnsi"/>
        </w:rPr>
        <w:t>achievement infographic</w:t>
      </w:r>
      <w:r w:rsidR="00B44008" w:rsidRPr="0045782B">
        <w:rPr>
          <w:rStyle w:val="FootnoteReference"/>
        </w:rPr>
        <w:footnoteReference w:id="67"/>
      </w:r>
      <w:r w:rsidR="00B44008">
        <w:rPr>
          <w:rStyle w:val="normaltextrun"/>
          <w:rFonts w:asciiTheme="minorHAnsi" w:hAnsiTheme="minorHAnsi" w:cstheme="minorHAnsi"/>
        </w:rPr>
        <w:t xml:space="preserve"> identified over 9</w:t>
      </w:r>
      <w:r w:rsidR="003A4159">
        <w:rPr>
          <w:rStyle w:val="normaltextrun"/>
          <w:rFonts w:asciiTheme="minorHAnsi" w:hAnsiTheme="minorHAnsi" w:cstheme="minorHAnsi"/>
        </w:rPr>
        <w:t>47 kilometres of fibre associated with ECOWAN and a further 420 kilometres associated with the NBN</w:t>
      </w:r>
      <w:r w:rsidR="00B83BF7">
        <w:rPr>
          <w:rStyle w:val="normaltextrun"/>
          <w:rFonts w:asciiTheme="minorHAnsi" w:hAnsiTheme="minorHAnsi" w:cstheme="minorHAnsi"/>
        </w:rPr>
        <w:t xml:space="preserve"> </w:t>
      </w:r>
      <w:r w:rsidR="003A4159">
        <w:rPr>
          <w:rStyle w:val="normaltextrun"/>
          <w:rFonts w:asciiTheme="minorHAnsi" w:hAnsiTheme="minorHAnsi" w:cstheme="minorHAnsi"/>
        </w:rPr>
        <w:t>for a total of 1,367</w:t>
      </w:r>
      <w:r w:rsidR="00AF3849">
        <w:rPr>
          <w:rStyle w:val="normaltextrun"/>
          <w:rFonts w:asciiTheme="minorHAnsi" w:hAnsiTheme="minorHAnsi" w:cstheme="minorHAnsi"/>
        </w:rPr>
        <w:t xml:space="preserve"> kilometres of fibre.</w:t>
      </w:r>
    </w:p>
    <w:p w14:paraId="23AE55A7" w14:textId="489436AD" w:rsidR="00820053" w:rsidRDefault="00820053" w:rsidP="00492BC2">
      <w:pPr>
        <w:rPr>
          <w:rStyle w:val="normaltextrun"/>
          <w:rFonts w:asciiTheme="minorHAnsi" w:hAnsiTheme="minorHAnsi" w:cstheme="minorHAnsi"/>
        </w:rPr>
      </w:pPr>
      <w:r>
        <w:rPr>
          <w:rStyle w:val="normaltextrun"/>
          <w:rFonts w:asciiTheme="minorHAnsi" w:hAnsiTheme="minorHAnsi" w:cstheme="minorHAnsi"/>
        </w:rPr>
        <w:t xml:space="preserve">ECOWAN as shown in </w:t>
      </w:r>
      <w:r w:rsidR="00E11006">
        <w:rPr>
          <w:rStyle w:val="normaltextrun"/>
          <w:rFonts w:asciiTheme="minorHAnsi" w:hAnsiTheme="minorHAnsi" w:cstheme="minorHAnsi"/>
        </w:rPr>
        <w:fldChar w:fldCharType="begin"/>
      </w:r>
      <w:r w:rsidR="00E11006">
        <w:rPr>
          <w:rStyle w:val="normaltextrun"/>
          <w:rFonts w:asciiTheme="minorHAnsi" w:hAnsiTheme="minorHAnsi" w:cstheme="minorHAnsi"/>
        </w:rPr>
        <w:instrText xml:space="preserve"> REF _Ref181786359 \h </w:instrText>
      </w:r>
      <w:r w:rsidR="00E11006">
        <w:rPr>
          <w:rStyle w:val="normaltextrun"/>
          <w:rFonts w:asciiTheme="minorHAnsi" w:hAnsiTheme="minorHAnsi" w:cstheme="minorHAnsi"/>
        </w:rPr>
      </w:r>
      <w:r w:rsidR="00E11006">
        <w:rPr>
          <w:rStyle w:val="normaltextrun"/>
          <w:rFonts w:asciiTheme="minorHAnsi" w:hAnsiTheme="minorHAnsi" w:cstheme="minorHAnsi"/>
        </w:rPr>
        <w:fldChar w:fldCharType="separate"/>
      </w:r>
      <w:r w:rsidR="00E11006">
        <w:t xml:space="preserve">Figure </w:t>
      </w:r>
      <w:r w:rsidR="00E11006">
        <w:rPr>
          <w:noProof/>
        </w:rPr>
        <w:t>6</w:t>
      </w:r>
      <w:r w:rsidR="00E11006">
        <w:rPr>
          <w:rStyle w:val="normaltextrun"/>
          <w:rFonts w:asciiTheme="minorHAnsi" w:hAnsiTheme="minorHAnsi" w:cstheme="minorHAnsi"/>
        </w:rPr>
        <w:fldChar w:fldCharType="end"/>
      </w:r>
      <w:r>
        <w:rPr>
          <w:rStyle w:val="normaltextrun"/>
          <w:rFonts w:asciiTheme="minorHAnsi" w:hAnsiTheme="minorHAnsi" w:cstheme="minorHAnsi"/>
        </w:rPr>
        <w:t xml:space="preserve"> below</w:t>
      </w:r>
      <w:r w:rsidR="00E11006">
        <w:rPr>
          <w:rStyle w:val="normaltextrun"/>
          <w:rFonts w:asciiTheme="minorHAnsi" w:hAnsiTheme="minorHAnsi" w:cstheme="minorHAnsi"/>
        </w:rPr>
        <w:t>,</w:t>
      </w:r>
      <w:r w:rsidR="00DD5E18">
        <w:rPr>
          <w:rStyle w:val="normaltextrun"/>
          <w:rFonts w:asciiTheme="minorHAnsi" w:hAnsiTheme="minorHAnsi" w:cstheme="minorHAnsi"/>
        </w:rPr>
        <w:t xml:space="preserve"> is a national </w:t>
      </w:r>
      <w:r w:rsidR="00E11006">
        <w:rPr>
          <w:rStyle w:val="normaltextrun"/>
          <w:rFonts w:asciiTheme="minorHAnsi" w:hAnsiTheme="minorHAnsi" w:cstheme="minorHAnsi"/>
        </w:rPr>
        <w:t xml:space="preserve">telecommunications </w:t>
      </w:r>
      <w:r w:rsidR="00DD5E18">
        <w:rPr>
          <w:rStyle w:val="normaltextrun"/>
          <w:rFonts w:asciiTheme="minorHAnsi" w:hAnsiTheme="minorHAnsi" w:cstheme="minorHAnsi"/>
        </w:rPr>
        <w:t xml:space="preserve">backbone completed in 2013 </w:t>
      </w:r>
      <w:r w:rsidR="003E4EC5">
        <w:rPr>
          <w:rStyle w:val="normaltextrun"/>
          <w:rFonts w:asciiTheme="minorHAnsi" w:hAnsiTheme="minorHAnsi" w:cstheme="minorHAnsi"/>
        </w:rPr>
        <w:t>forming</w:t>
      </w:r>
      <w:r w:rsidR="00DD5E18">
        <w:rPr>
          <w:rStyle w:val="normaltextrun"/>
          <w:rFonts w:asciiTheme="minorHAnsi" w:hAnsiTheme="minorHAnsi" w:cstheme="minorHAnsi"/>
        </w:rPr>
        <w:t xml:space="preserve"> a loop around The Gambia</w:t>
      </w:r>
      <w:r w:rsidR="00DD5E18">
        <w:rPr>
          <w:rStyle w:val="FootnoteReference"/>
          <w:rFonts w:asciiTheme="minorHAnsi" w:hAnsiTheme="minorHAnsi" w:cstheme="minorHAnsi"/>
        </w:rPr>
        <w:footnoteReference w:id="68"/>
      </w:r>
      <w:r w:rsidR="003E4EC5">
        <w:rPr>
          <w:rStyle w:val="normaltextrun"/>
          <w:rFonts w:asciiTheme="minorHAnsi" w:hAnsiTheme="minorHAnsi" w:cstheme="minorHAnsi"/>
        </w:rPr>
        <w:t xml:space="preserve">. The network </w:t>
      </w:r>
      <w:r w:rsidR="00605BF4">
        <w:rPr>
          <w:rStyle w:val="normaltextrun"/>
          <w:rFonts w:asciiTheme="minorHAnsi" w:hAnsiTheme="minorHAnsi" w:cstheme="minorHAnsi"/>
        </w:rPr>
        <w:t xml:space="preserve">is implemented along the main highways of The Gambia and is designed with self-healing loops </w:t>
      </w:r>
      <w:r w:rsidR="00A5268A">
        <w:rPr>
          <w:rStyle w:val="normaltextrun"/>
          <w:rFonts w:asciiTheme="minorHAnsi" w:hAnsiTheme="minorHAnsi" w:cstheme="minorHAnsi"/>
        </w:rPr>
        <w:t xml:space="preserve">to minimise </w:t>
      </w:r>
      <w:r w:rsidR="00520B2A">
        <w:rPr>
          <w:rStyle w:val="normaltextrun"/>
          <w:rFonts w:asciiTheme="minorHAnsi" w:hAnsiTheme="minorHAnsi" w:cstheme="minorHAnsi"/>
        </w:rPr>
        <w:t>failures</w:t>
      </w:r>
      <w:r w:rsidR="00520B2A">
        <w:rPr>
          <w:rStyle w:val="FootnoteReference"/>
          <w:rFonts w:asciiTheme="minorHAnsi" w:hAnsiTheme="minorHAnsi" w:cstheme="minorHAnsi"/>
        </w:rPr>
        <w:footnoteReference w:id="69"/>
      </w:r>
      <w:r w:rsidR="00520B2A">
        <w:rPr>
          <w:rStyle w:val="normaltextrun"/>
          <w:rFonts w:asciiTheme="minorHAnsi" w:hAnsiTheme="minorHAnsi" w:cstheme="minorHAnsi"/>
        </w:rPr>
        <w:t>. Where</w:t>
      </w:r>
      <w:r w:rsidR="005144A7">
        <w:rPr>
          <w:rStyle w:val="normaltextrun"/>
          <w:rFonts w:asciiTheme="minorHAnsi" w:hAnsiTheme="minorHAnsi" w:cstheme="minorHAnsi"/>
        </w:rPr>
        <w:t xml:space="preserve">, locations cannot be economically connected to the fibre, </w:t>
      </w:r>
      <w:r w:rsidR="00BD1A59">
        <w:rPr>
          <w:rStyle w:val="normaltextrun"/>
          <w:rFonts w:asciiTheme="minorHAnsi" w:hAnsiTheme="minorHAnsi" w:cstheme="minorHAnsi"/>
        </w:rPr>
        <w:t>high-capacity</w:t>
      </w:r>
      <w:r w:rsidR="003F405A">
        <w:rPr>
          <w:rStyle w:val="normaltextrun"/>
          <w:rFonts w:asciiTheme="minorHAnsi" w:hAnsiTheme="minorHAnsi" w:cstheme="minorHAnsi"/>
        </w:rPr>
        <w:t xml:space="preserve"> </w:t>
      </w:r>
      <w:r w:rsidR="005144A7">
        <w:rPr>
          <w:rStyle w:val="normaltextrun"/>
          <w:rFonts w:asciiTheme="minorHAnsi" w:hAnsiTheme="minorHAnsi" w:cstheme="minorHAnsi"/>
        </w:rPr>
        <w:t>radio links are utilised</w:t>
      </w:r>
      <w:r w:rsidR="003F405A">
        <w:rPr>
          <w:rStyle w:val="normaltextrun"/>
          <w:rFonts w:asciiTheme="minorHAnsi" w:hAnsiTheme="minorHAnsi" w:cstheme="minorHAnsi"/>
        </w:rPr>
        <w:t>.</w:t>
      </w:r>
    </w:p>
    <w:p w14:paraId="026D4254" w14:textId="19443EA7" w:rsidR="003F405A" w:rsidRDefault="003F405A" w:rsidP="0044120B">
      <w:pPr>
        <w:pStyle w:val="Caption"/>
        <w:jc w:val="center"/>
        <w:rPr>
          <w:rStyle w:val="normaltextrun"/>
          <w:rFonts w:asciiTheme="minorHAnsi" w:hAnsiTheme="minorHAnsi" w:cstheme="minorHAnsi"/>
        </w:rPr>
      </w:pPr>
      <w:bookmarkStart w:id="281" w:name="_Ref181786359"/>
      <w:bookmarkStart w:id="282" w:name="_Toc181885868"/>
      <w:r>
        <w:t xml:space="preserve">Figure </w:t>
      </w:r>
      <w:r>
        <w:fldChar w:fldCharType="begin"/>
      </w:r>
      <w:r>
        <w:instrText xml:space="preserve"> SEQ Figure \* ARABIC </w:instrText>
      </w:r>
      <w:r>
        <w:fldChar w:fldCharType="separate"/>
      </w:r>
      <w:r>
        <w:rPr>
          <w:noProof/>
        </w:rPr>
        <w:t>6</w:t>
      </w:r>
      <w:r>
        <w:fldChar w:fldCharType="end"/>
      </w:r>
      <w:bookmarkEnd w:id="281"/>
      <w:r w:rsidR="0044120B">
        <w:t xml:space="preserve"> – ECOWAN Infrastructure Map</w:t>
      </w:r>
      <w:r w:rsidR="0044120B">
        <w:rPr>
          <w:rStyle w:val="FootnoteReference"/>
        </w:rPr>
        <w:footnoteReference w:id="70"/>
      </w:r>
      <w:bookmarkEnd w:id="282"/>
    </w:p>
    <w:p w14:paraId="66D4C8E6" w14:textId="3D6AC249" w:rsidR="00820053" w:rsidRDefault="00820053" w:rsidP="006C6CE5">
      <w:pPr>
        <w:jc w:val="center"/>
        <w:rPr>
          <w:rStyle w:val="normaltextrun"/>
          <w:rFonts w:asciiTheme="minorHAnsi" w:hAnsiTheme="minorHAnsi" w:cstheme="minorHAnsi"/>
        </w:rPr>
      </w:pPr>
      <w:r w:rsidRPr="00820053">
        <w:rPr>
          <w:rStyle w:val="normaltextrun"/>
          <w:rFonts w:asciiTheme="minorHAnsi" w:hAnsiTheme="minorHAnsi" w:cstheme="minorHAnsi"/>
          <w:noProof/>
        </w:rPr>
        <w:drawing>
          <wp:inline distT="0" distB="0" distL="0" distR="0" wp14:anchorId="43AC3A78" wp14:editId="0F36DFF4">
            <wp:extent cx="5567362" cy="2333626"/>
            <wp:effectExtent l="0" t="0" r="0" b="0"/>
            <wp:docPr id="17329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5944" name=""/>
                    <pic:cNvPicPr/>
                  </pic:nvPicPr>
                  <pic:blipFill>
                    <a:blip r:embed="rId31"/>
                    <a:stretch>
                      <a:fillRect/>
                    </a:stretch>
                  </pic:blipFill>
                  <pic:spPr>
                    <a:xfrm>
                      <a:off x="0" y="0"/>
                      <a:ext cx="5617607" cy="2354687"/>
                    </a:xfrm>
                    <a:prstGeom prst="rect">
                      <a:avLst/>
                    </a:prstGeom>
                  </pic:spPr>
                </pic:pic>
              </a:graphicData>
            </a:graphic>
          </wp:inline>
        </w:drawing>
      </w:r>
    </w:p>
    <w:p w14:paraId="79188570" w14:textId="52E2AB2C" w:rsidR="00492BC2" w:rsidRPr="00DE1BD4" w:rsidRDefault="00492BC2" w:rsidP="00492BC2">
      <w:pPr>
        <w:rPr>
          <w:rStyle w:val="normaltextrun"/>
          <w:rFonts w:asciiTheme="minorHAnsi" w:hAnsiTheme="minorHAnsi" w:cstheme="minorHAnsi"/>
        </w:rPr>
      </w:pPr>
      <w:r w:rsidRPr="00DE1BD4">
        <w:rPr>
          <w:rStyle w:val="normaltextrun"/>
          <w:rFonts w:asciiTheme="minorHAnsi" w:hAnsiTheme="minorHAnsi" w:cstheme="minorHAnsi"/>
        </w:rPr>
        <w:fldChar w:fldCharType="begin"/>
      </w:r>
      <w:r w:rsidRPr="00DE1BD4">
        <w:rPr>
          <w:rStyle w:val="normaltextrun"/>
          <w:rFonts w:asciiTheme="minorHAnsi" w:hAnsiTheme="minorHAnsi" w:cstheme="minorHAnsi"/>
        </w:rPr>
        <w:instrText xml:space="preserve"> REF _Ref167976060 \h </w:instrText>
      </w:r>
      <w:r w:rsidRPr="00DE1BD4">
        <w:rPr>
          <w:rStyle w:val="normaltextrun"/>
          <w:rFonts w:asciiTheme="minorHAnsi" w:hAnsiTheme="minorHAnsi" w:cstheme="minorHAnsi"/>
        </w:rPr>
      </w:r>
      <w:r w:rsidRPr="00DE1BD4">
        <w:rPr>
          <w:rStyle w:val="normaltextrun"/>
          <w:rFonts w:asciiTheme="minorHAnsi" w:hAnsiTheme="minorHAnsi" w:cstheme="minorHAnsi"/>
        </w:rPr>
        <w:fldChar w:fldCharType="separate"/>
      </w:r>
      <w:r w:rsidR="00BD1A59" w:rsidRPr="00DE1BD4">
        <w:t xml:space="preserve">Figure </w:t>
      </w:r>
      <w:r w:rsidR="00BD1A59">
        <w:rPr>
          <w:noProof/>
        </w:rPr>
        <w:t>7</w:t>
      </w:r>
      <w:r w:rsidRPr="00DE1BD4">
        <w:rPr>
          <w:rStyle w:val="normaltextrun"/>
          <w:rFonts w:asciiTheme="minorHAnsi" w:hAnsiTheme="minorHAnsi" w:cstheme="minorHAnsi"/>
        </w:rPr>
        <w:fldChar w:fldCharType="end"/>
      </w:r>
      <w:r w:rsidRPr="00DE1BD4">
        <w:rPr>
          <w:rStyle w:val="normaltextrun"/>
          <w:rFonts w:asciiTheme="minorHAnsi" w:hAnsiTheme="minorHAnsi" w:cstheme="minorHAnsi"/>
        </w:rPr>
        <w:t xml:space="preserve"> below provide a diagrammatic overview of the main </w:t>
      </w:r>
      <w:r w:rsidR="00591567">
        <w:rPr>
          <w:rStyle w:val="normaltextrun"/>
          <w:rFonts w:asciiTheme="minorHAnsi" w:hAnsiTheme="minorHAnsi" w:cstheme="minorHAnsi"/>
        </w:rPr>
        <w:t xml:space="preserve">fibre </w:t>
      </w:r>
      <w:r w:rsidRPr="00DE1BD4">
        <w:rPr>
          <w:rStyle w:val="normaltextrun"/>
          <w:rFonts w:asciiTheme="minorHAnsi" w:hAnsiTheme="minorHAnsi" w:cstheme="minorHAnsi"/>
        </w:rPr>
        <w:t xml:space="preserve">backhaul routes across </w:t>
      </w:r>
      <w:r w:rsidR="009A1B46">
        <w:rPr>
          <w:rStyle w:val="normaltextrun"/>
          <w:rFonts w:asciiTheme="minorHAnsi" w:hAnsiTheme="minorHAnsi" w:cstheme="minorHAnsi"/>
        </w:rPr>
        <w:t>The Gambia</w:t>
      </w:r>
      <w:r w:rsidR="00AF3849">
        <w:rPr>
          <w:rStyle w:val="normaltextrun"/>
          <w:rFonts w:asciiTheme="minorHAnsi" w:hAnsiTheme="minorHAnsi" w:cstheme="minorHAnsi"/>
        </w:rPr>
        <w:t xml:space="preserve"> as shown in the ITU Connectivity Infrastructure Map</w:t>
      </w:r>
      <w:r w:rsidR="003D609E">
        <w:rPr>
          <w:rStyle w:val="normaltextrun"/>
          <w:rFonts w:asciiTheme="minorHAnsi" w:hAnsiTheme="minorHAnsi" w:cstheme="minorHAnsi"/>
        </w:rPr>
        <w:t>.</w:t>
      </w:r>
      <w:r w:rsidRPr="00DE1BD4">
        <w:rPr>
          <w:rStyle w:val="normaltextrun"/>
          <w:rFonts w:asciiTheme="minorHAnsi" w:hAnsiTheme="minorHAnsi" w:cstheme="minorHAnsi"/>
        </w:rPr>
        <w:t xml:space="preserve"> </w:t>
      </w:r>
      <w:r w:rsidR="00591567">
        <w:rPr>
          <w:rStyle w:val="normaltextrun"/>
          <w:rFonts w:asciiTheme="minorHAnsi" w:hAnsiTheme="minorHAnsi" w:cstheme="minorHAnsi"/>
        </w:rPr>
        <w:t xml:space="preserve">It can </w:t>
      </w:r>
      <w:r w:rsidR="00325784">
        <w:rPr>
          <w:rStyle w:val="normaltextrun"/>
          <w:rFonts w:asciiTheme="minorHAnsi" w:hAnsiTheme="minorHAnsi" w:cstheme="minorHAnsi"/>
        </w:rPr>
        <w:t xml:space="preserve">also be </w:t>
      </w:r>
      <w:r w:rsidR="00591567">
        <w:rPr>
          <w:rStyle w:val="normaltextrun"/>
          <w:rFonts w:asciiTheme="minorHAnsi" w:hAnsiTheme="minorHAnsi" w:cstheme="minorHAnsi"/>
        </w:rPr>
        <w:t xml:space="preserve">seen from </w:t>
      </w:r>
      <w:r w:rsidR="00591567">
        <w:rPr>
          <w:rStyle w:val="normaltextrun"/>
          <w:rFonts w:asciiTheme="minorHAnsi" w:hAnsiTheme="minorHAnsi" w:cstheme="minorHAnsi"/>
        </w:rPr>
        <w:fldChar w:fldCharType="begin"/>
      </w:r>
      <w:r w:rsidR="00591567">
        <w:rPr>
          <w:rStyle w:val="normaltextrun"/>
          <w:rFonts w:asciiTheme="minorHAnsi" w:hAnsiTheme="minorHAnsi" w:cstheme="minorHAnsi"/>
        </w:rPr>
        <w:instrText xml:space="preserve"> REF _Ref167976060 \h </w:instrText>
      </w:r>
      <w:r w:rsidR="00591567">
        <w:rPr>
          <w:rStyle w:val="normaltextrun"/>
          <w:rFonts w:asciiTheme="minorHAnsi" w:hAnsiTheme="minorHAnsi" w:cstheme="minorHAnsi"/>
        </w:rPr>
      </w:r>
      <w:r w:rsidR="00591567">
        <w:rPr>
          <w:rStyle w:val="normaltextrun"/>
          <w:rFonts w:asciiTheme="minorHAnsi" w:hAnsiTheme="minorHAnsi" w:cstheme="minorHAnsi"/>
        </w:rPr>
        <w:fldChar w:fldCharType="separate"/>
      </w:r>
      <w:r w:rsidR="00591567" w:rsidRPr="00DE1BD4">
        <w:t xml:space="preserve">Figure </w:t>
      </w:r>
      <w:r w:rsidR="00591567">
        <w:rPr>
          <w:noProof/>
        </w:rPr>
        <w:t>7</w:t>
      </w:r>
      <w:r w:rsidR="00591567">
        <w:rPr>
          <w:rStyle w:val="normaltextrun"/>
          <w:rFonts w:asciiTheme="minorHAnsi" w:hAnsiTheme="minorHAnsi" w:cstheme="minorHAnsi"/>
        </w:rPr>
        <w:fldChar w:fldCharType="end"/>
      </w:r>
      <w:r w:rsidR="00591567">
        <w:rPr>
          <w:rStyle w:val="normaltextrun"/>
          <w:rFonts w:asciiTheme="minorHAnsi" w:hAnsiTheme="minorHAnsi" w:cstheme="minorHAnsi"/>
        </w:rPr>
        <w:t>, the ma</w:t>
      </w:r>
      <w:r w:rsidR="006C6CE5">
        <w:rPr>
          <w:rStyle w:val="normaltextrun"/>
          <w:rFonts w:asciiTheme="minorHAnsi" w:hAnsiTheme="minorHAnsi" w:cstheme="minorHAnsi"/>
        </w:rPr>
        <w:t>in</w:t>
      </w:r>
      <w:r w:rsidR="00591567">
        <w:rPr>
          <w:rStyle w:val="normaltextrun"/>
          <w:rFonts w:asciiTheme="minorHAnsi" w:hAnsiTheme="minorHAnsi" w:cstheme="minorHAnsi"/>
        </w:rPr>
        <w:t xml:space="preserve"> terrestrial routes </w:t>
      </w:r>
      <w:r w:rsidR="00D84247">
        <w:rPr>
          <w:rStyle w:val="normaltextrun"/>
          <w:rFonts w:asciiTheme="minorHAnsi" w:hAnsiTheme="minorHAnsi" w:cstheme="minorHAnsi"/>
        </w:rPr>
        <w:t xml:space="preserve">providing entry and egress to The Gambia </w:t>
      </w:r>
      <w:r w:rsidR="00C176C1">
        <w:rPr>
          <w:rStyle w:val="normaltextrun"/>
          <w:rFonts w:asciiTheme="minorHAnsi" w:hAnsiTheme="minorHAnsi" w:cstheme="minorHAnsi"/>
        </w:rPr>
        <w:t>(north and south of Banjul and the far east of the country) t</w:t>
      </w:r>
      <w:r w:rsidR="00D84247">
        <w:rPr>
          <w:rStyle w:val="normaltextrun"/>
          <w:rFonts w:asciiTheme="minorHAnsi" w:hAnsiTheme="minorHAnsi" w:cstheme="minorHAnsi"/>
        </w:rPr>
        <w:t>hrough Senegal</w:t>
      </w:r>
      <w:r w:rsidR="00C176C1">
        <w:rPr>
          <w:rStyle w:val="normaltextrun"/>
          <w:rFonts w:asciiTheme="minorHAnsi" w:hAnsiTheme="minorHAnsi" w:cstheme="minorHAnsi"/>
        </w:rPr>
        <w:t>.</w:t>
      </w:r>
      <w:r w:rsidR="00325784">
        <w:rPr>
          <w:rStyle w:val="normaltextrun"/>
          <w:rFonts w:asciiTheme="minorHAnsi" w:hAnsiTheme="minorHAnsi" w:cstheme="minorHAnsi"/>
        </w:rPr>
        <w:t xml:space="preserve"> </w:t>
      </w:r>
    </w:p>
    <w:p w14:paraId="3CC4225B" w14:textId="6F7F519C" w:rsidR="00492BC2" w:rsidRPr="00DE1BD4" w:rsidRDefault="00492BC2" w:rsidP="00492BC2">
      <w:pPr>
        <w:pStyle w:val="Caption"/>
        <w:jc w:val="center"/>
        <w:rPr>
          <w:rStyle w:val="normaltextrun"/>
          <w:rFonts w:asciiTheme="minorHAnsi" w:hAnsiTheme="minorHAnsi" w:cstheme="minorHAnsi"/>
        </w:rPr>
      </w:pPr>
      <w:bookmarkStart w:id="283" w:name="_Ref167976060"/>
      <w:bookmarkStart w:id="284" w:name="_Toc181885869"/>
      <w:r w:rsidRPr="00DE1BD4">
        <w:t xml:space="preserve">Figure </w:t>
      </w:r>
      <w:r w:rsidRPr="00DE1BD4">
        <w:fldChar w:fldCharType="begin"/>
      </w:r>
      <w:r w:rsidRPr="00DE1BD4">
        <w:instrText xml:space="preserve"> SEQ Figure \* ARABIC </w:instrText>
      </w:r>
      <w:r w:rsidRPr="00DE1BD4">
        <w:fldChar w:fldCharType="separate"/>
      </w:r>
      <w:r w:rsidR="003F405A">
        <w:rPr>
          <w:noProof/>
        </w:rPr>
        <w:t>7</w:t>
      </w:r>
      <w:r w:rsidRPr="00DE1BD4">
        <w:fldChar w:fldCharType="end"/>
      </w:r>
      <w:bookmarkEnd w:id="283"/>
      <w:r w:rsidRPr="00DE1BD4">
        <w:t xml:space="preserve"> </w:t>
      </w:r>
      <w:r w:rsidR="0061251F">
        <w:t>–</w:t>
      </w:r>
      <w:r w:rsidRPr="00DE1BD4">
        <w:t xml:space="preserve"> </w:t>
      </w:r>
      <w:r w:rsidR="00F049F2" w:rsidRPr="00DE1BD4">
        <w:t>T</w:t>
      </w:r>
      <w:r w:rsidR="0061251F">
        <w:t>he Gambia</w:t>
      </w:r>
      <w:r w:rsidR="006A24C9">
        <w:t xml:space="preserve"> Terrestrial and Subsea Fibre</w:t>
      </w:r>
      <w:r w:rsidR="0061251F">
        <w:t xml:space="preserve"> </w:t>
      </w:r>
      <w:r w:rsidRPr="00DE1BD4">
        <w:t>Infrastructure Map</w:t>
      </w:r>
      <w:r w:rsidRPr="0045782B">
        <w:rPr>
          <w:rStyle w:val="FootnoteReference"/>
        </w:rPr>
        <w:footnoteReference w:id="71"/>
      </w:r>
      <w:bookmarkEnd w:id="284"/>
    </w:p>
    <w:p w14:paraId="4B66E2E3" w14:textId="488A61CA" w:rsidR="00492BC2" w:rsidRDefault="00591567" w:rsidP="00492BC2">
      <w:pPr>
        <w:jc w:val="center"/>
        <w:rPr>
          <w:rFonts w:asciiTheme="minorHAnsi" w:eastAsia="Times New Roman" w:hAnsiTheme="minorHAnsi" w:cstheme="minorHAnsi"/>
          <w:lang w:eastAsia="en-AU"/>
        </w:rPr>
      </w:pPr>
      <w:r>
        <w:rPr>
          <w:rFonts w:asciiTheme="minorHAnsi" w:eastAsia="Times New Roman" w:hAnsiTheme="minorHAnsi" w:cstheme="minorHAnsi"/>
          <w:noProof/>
          <w:lang w:eastAsia="en-AU"/>
        </w:rPr>
        <w:drawing>
          <wp:inline distT="0" distB="0" distL="0" distR="0" wp14:anchorId="0605849A" wp14:editId="3778B1D5">
            <wp:extent cx="5198350" cy="3076575"/>
            <wp:effectExtent l="0" t="0" r="2540" b="0"/>
            <wp:docPr id="71525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7026" cy="3099465"/>
                    </a:xfrm>
                    <a:prstGeom prst="rect">
                      <a:avLst/>
                    </a:prstGeom>
                    <a:noFill/>
                  </pic:spPr>
                </pic:pic>
              </a:graphicData>
            </a:graphic>
          </wp:inline>
        </w:drawing>
      </w:r>
    </w:p>
    <w:p w14:paraId="12A554EF" w14:textId="1D430CE9" w:rsidR="00700A23" w:rsidRDefault="001C68B3" w:rsidP="00700A23">
      <w:pPr>
        <w:rPr>
          <w:rFonts w:asciiTheme="minorHAnsi" w:eastAsia="Times New Roman" w:hAnsiTheme="minorHAnsi" w:cstheme="minorHAnsi"/>
          <w:lang w:eastAsia="en-AU"/>
        </w:rPr>
      </w:pPr>
      <w:r>
        <w:rPr>
          <w:rFonts w:asciiTheme="minorHAnsi" w:eastAsia="Times New Roman" w:hAnsiTheme="minorHAnsi" w:cstheme="minorHAnsi"/>
          <w:lang w:eastAsia="en-AU"/>
        </w:rPr>
        <w:fldChar w:fldCharType="begin"/>
      </w:r>
      <w:r>
        <w:rPr>
          <w:rFonts w:asciiTheme="minorHAnsi" w:eastAsia="Times New Roman" w:hAnsiTheme="minorHAnsi" w:cstheme="minorHAnsi"/>
          <w:lang w:eastAsia="en-AU"/>
        </w:rPr>
        <w:instrText xml:space="preserve"> REF _Ref179727399 \h </w:instrText>
      </w:r>
      <w:r>
        <w:rPr>
          <w:rFonts w:asciiTheme="minorHAnsi" w:eastAsia="Times New Roman" w:hAnsiTheme="minorHAnsi" w:cstheme="minorHAnsi"/>
          <w:lang w:eastAsia="en-AU"/>
        </w:rPr>
      </w:r>
      <w:r>
        <w:rPr>
          <w:rFonts w:asciiTheme="minorHAnsi" w:eastAsia="Times New Roman" w:hAnsiTheme="minorHAnsi" w:cstheme="minorHAnsi"/>
          <w:lang w:eastAsia="en-AU"/>
        </w:rPr>
        <w:fldChar w:fldCharType="separate"/>
      </w:r>
      <w:r>
        <w:t xml:space="preserve">Figure </w:t>
      </w:r>
      <w:r>
        <w:rPr>
          <w:noProof/>
        </w:rPr>
        <w:t>8</w:t>
      </w:r>
      <w:r>
        <w:rPr>
          <w:rFonts w:asciiTheme="minorHAnsi" w:eastAsia="Times New Roman" w:hAnsiTheme="minorHAnsi" w:cstheme="minorHAnsi"/>
          <w:lang w:eastAsia="en-AU"/>
        </w:rPr>
        <w:fldChar w:fldCharType="end"/>
      </w:r>
      <w:r>
        <w:rPr>
          <w:rFonts w:asciiTheme="minorHAnsi" w:eastAsia="Times New Roman" w:hAnsiTheme="minorHAnsi" w:cstheme="minorHAnsi"/>
          <w:lang w:eastAsia="en-AU"/>
        </w:rPr>
        <w:t xml:space="preserve">, below shows </w:t>
      </w:r>
      <w:r w:rsidR="00D7348E">
        <w:rPr>
          <w:rFonts w:asciiTheme="minorHAnsi" w:eastAsia="Times New Roman" w:hAnsiTheme="minorHAnsi" w:cstheme="minorHAnsi"/>
          <w:lang w:eastAsia="en-AU"/>
        </w:rPr>
        <w:t>the documented microwave transmission links in The Gambia.</w:t>
      </w:r>
    </w:p>
    <w:p w14:paraId="3E6D51CF" w14:textId="7930436A" w:rsidR="006A24C9" w:rsidRDefault="006A24C9" w:rsidP="001C68B3">
      <w:pPr>
        <w:pStyle w:val="Caption"/>
        <w:jc w:val="center"/>
        <w:rPr>
          <w:rFonts w:asciiTheme="minorHAnsi" w:eastAsia="Times New Roman" w:hAnsiTheme="minorHAnsi" w:cstheme="minorHAnsi"/>
          <w:lang w:eastAsia="en-AU"/>
        </w:rPr>
      </w:pPr>
      <w:bookmarkStart w:id="285" w:name="_Ref179727399"/>
      <w:bookmarkStart w:id="286" w:name="_Toc181885870"/>
      <w:r>
        <w:t xml:space="preserve">Figure </w:t>
      </w:r>
      <w:r>
        <w:fldChar w:fldCharType="begin"/>
      </w:r>
      <w:r>
        <w:instrText xml:space="preserve"> SEQ Figure \* ARABIC </w:instrText>
      </w:r>
      <w:r>
        <w:fldChar w:fldCharType="separate"/>
      </w:r>
      <w:r w:rsidR="003F405A">
        <w:rPr>
          <w:noProof/>
        </w:rPr>
        <w:t>8</w:t>
      </w:r>
      <w:r>
        <w:fldChar w:fldCharType="end"/>
      </w:r>
      <w:bookmarkEnd w:id="285"/>
      <w:r>
        <w:t xml:space="preserve"> – The Gambia Microwave Infrastructure Map</w:t>
      </w:r>
      <w:r w:rsidRPr="0045782B">
        <w:rPr>
          <w:rStyle w:val="FootnoteReference"/>
        </w:rPr>
        <w:footnoteReference w:id="72"/>
      </w:r>
      <w:bookmarkEnd w:id="286"/>
    </w:p>
    <w:p w14:paraId="237E487E" w14:textId="074987C3" w:rsidR="006A24C9" w:rsidRPr="00DE1BD4" w:rsidRDefault="006A24C9" w:rsidP="006A24C9">
      <w:pPr>
        <w:jc w:val="center"/>
        <w:rPr>
          <w:rFonts w:asciiTheme="minorHAnsi" w:eastAsia="Times New Roman" w:hAnsiTheme="minorHAnsi" w:cstheme="minorHAnsi"/>
          <w:lang w:eastAsia="en-AU"/>
        </w:rPr>
      </w:pPr>
      <w:r>
        <w:rPr>
          <w:rFonts w:asciiTheme="minorHAnsi" w:eastAsia="Times New Roman" w:hAnsiTheme="minorHAnsi" w:cstheme="minorHAnsi"/>
          <w:noProof/>
          <w:lang w:eastAsia="en-AU"/>
        </w:rPr>
        <w:drawing>
          <wp:inline distT="0" distB="0" distL="0" distR="0" wp14:anchorId="786C015D" wp14:editId="7F408CCB">
            <wp:extent cx="5207463" cy="2128837"/>
            <wp:effectExtent l="0" t="0" r="0" b="5080"/>
            <wp:docPr id="609081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2845" cy="2143301"/>
                    </a:xfrm>
                    <a:prstGeom prst="rect">
                      <a:avLst/>
                    </a:prstGeom>
                    <a:noFill/>
                  </pic:spPr>
                </pic:pic>
              </a:graphicData>
            </a:graphic>
          </wp:inline>
        </w:drawing>
      </w:r>
    </w:p>
    <w:p w14:paraId="451AF289" w14:textId="77777777" w:rsidR="00492BC2" w:rsidRPr="00DE1BD4" w:rsidRDefault="00492BC2" w:rsidP="00492BC2">
      <w:pPr>
        <w:pStyle w:val="Heading3"/>
      </w:pPr>
      <w:bookmarkStart w:id="287" w:name="_Toc181885802"/>
      <w:r w:rsidRPr="00DE1BD4">
        <w:t>Access Networks</w:t>
      </w:r>
      <w:bookmarkEnd w:id="287"/>
    </w:p>
    <w:p w14:paraId="35D743F8" w14:textId="144E01E9" w:rsidR="00492BC2" w:rsidRPr="00DE1BD4" w:rsidRDefault="00C658EF" w:rsidP="00492BC2">
      <w:pPr>
        <w:rPr>
          <w:rFonts w:asciiTheme="minorHAnsi" w:hAnsiTheme="minorHAnsi" w:cstheme="minorHAnsi"/>
        </w:rPr>
      </w:pPr>
      <w:r w:rsidRPr="00DE1BD4">
        <w:rPr>
          <w:rStyle w:val="normaltextrun"/>
          <w:rFonts w:asciiTheme="minorHAnsi" w:hAnsiTheme="minorHAnsi" w:cstheme="minorHAnsi"/>
          <w:color w:val="000000"/>
          <w:shd w:val="clear" w:color="auto" w:fill="FFFFFF"/>
        </w:rPr>
        <w:t>With</w:t>
      </w:r>
      <w:r w:rsidR="00C51BDF">
        <w:rPr>
          <w:rStyle w:val="normaltextrun"/>
          <w:rFonts w:asciiTheme="minorHAnsi" w:hAnsiTheme="minorHAnsi" w:cstheme="minorHAnsi"/>
          <w:color w:val="000000"/>
          <w:shd w:val="clear" w:color="auto" w:fill="FFFFFF"/>
        </w:rPr>
        <w:t xml:space="preserve"> </w:t>
      </w:r>
      <w:r w:rsidR="00D7348E">
        <w:rPr>
          <w:rStyle w:val="normaltextrun"/>
          <w:rFonts w:asciiTheme="minorHAnsi" w:hAnsiTheme="minorHAnsi" w:cstheme="minorHAnsi"/>
          <w:color w:val="000000"/>
          <w:shd w:val="clear" w:color="auto" w:fill="FFFFFF"/>
        </w:rPr>
        <w:t>Gamtel</w:t>
      </w:r>
      <w:r w:rsidR="00C51BDF">
        <w:rPr>
          <w:rStyle w:val="normaltextrun"/>
          <w:rFonts w:asciiTheme="minorHAnsi" w:hAnsiTheme="minorHAnsi" w:cstheme="minorHAnsi"/>
          <w:color w:val="000000"/>
          <w:shd w:val="clear" w:color="auto" w:fill="FFFFFF"/>
        </w:rPr>
        <w:t xml:space="preserve"> being the</w:t>
      </w:r>
      <w:r w:rsidRPr="00DE1BD4">
        <w:rPr>
          <w:rStyle w:val="normaltextrun"/>
          <w:rFonts w:asciiTheme="minorHAnsi" w:hAnsiTheme="minorHAnsi" w:cstheme="minorHAnsi"/>
          <w:color w:val="000000"/>
          <w:shd w:val="clear" w:color="auto" w:fill="FFFFFF"/>
        </w:rPr>
        <w:t xml:space="preserve"> only fixed line provider</w:t>
      </w:r>
      <w:r w:rsidR="003F4083" w:rsidRPr="0045782B">
        <w:rPr>
          <w:rStyle w:val="FootnoteReference"/>
        </w:rPr>
        <w:footnoteReference w:id="73"/>
      </w:r>
      <w:r w:rsidR="00C04660" w:rsidRPr="00DE1BD4">
        <w:rPr>
          <w:rStyle w:val="normaltextrun"/>
          <w:rFonts w:asciiTheme="minorHAnsi" w:hAnsiTheme="minorHAnsi" w:cstheme="minorHAnsi"/>
          <w:color w:val="000000"/>
          <w:shd w:val="clear" w:color="auto" w:fill="FFFFFF"/>
        </w:rPr>
        <w:t>, t</w:t>
      </w:r>
      <w:r w:rsidR="00492BC2" w:rsidRPr="00DE1BD4">
        <w:rPr>
          <w:rStyle w:val="normaltextrun"/>
          <w:rFonts w:asciiTheme="minorHAnsi" w:hAnsiTheme="minorHAnsi" w:cstheme="minorHAnsi"/>
          <w:color w:val="000000"/>
          <w:shd w:val="clear" w:color="auto" w:fill="FFFFFF"/>
        </w:rPr>
        <w:t xml:space="preserve">here are limited copper and/or fibre access networks in </w:t>
      </w:r>
      <w:r w:rsidR="00346529">
        <w:rPr>
          <w:rStyle w:val="normaltextrun"/>
          <w:rFonts w:asciiTheme="minorHAnsi" w:hAnsiTheme="minorHAnsi" w:cstheme="minorHAnsi"/>
          <w:color w:val="000000"/>
          <w:shd w:val="clear" w:color="auto" w:fill="FFFFFF"/>
        </w:rPr>
        <w:t>T</w:t>
      </w:r>
      <w:r w:rsidR="003F4083">
        <w:rPr>
          <w:rStyle w:val="normaltextrun"/>
          <w:rFonts w:asciiTheme="minorHAnsi" w:hAnsiTheme="minorHAnsi" w:cstheme="minorHAnsi"/>
          <w:color w:val="000000"/>
          <w:shd w:val="clear" w:color="auto" w:fill="FFFFFF"/>
        </w:rPr>
        <w:t>he Gambia</w:t>
      </w:r>
      <w:r w:rsidR="00570D48" w:rsidRPr="00DE1BD4">
        <w:rPr>
          <w:rStyle w:val="normaltextrun"/>
          <w:rFonts w:asciiTheme="minorHAnsi" w:hAnsiTheme="minorHAnsi" w:cstheme="minorHAnsi"/>
          <w:color w:val="000000"/>
          <w:shd w:val="clear" w:color="auto" w:fill="FFFFFF"/>
        </w:rPr>
        <w:t xml:space="preserve">, with these being in major </w:t>
      </w:r>
      <w:r w:rsidR="009F0438" w:rsidRPr="00DE1BD4">
        <w:rPr>
          <w:rStyle w:val="normaltextrun"/>
          <w:rFonts w:asciiTheme="minorHAnsi" w:hAnsiTheme="minorHAnsi" w:cstheme="minorHAnsi"/>
          <w:color w:val="000000"/>
          <w:shd w:val="clear" w:color="auto" w:fill="FFFFFF"/>
        </w:rPr>
        <w:t xml:space="preserve">population centres. </w:t>
      </w:r>
      <w:r w:rsidR="00A172C2" w:rsidRPr="00DE1BD4">
        <w:rPr>
          <w:rStyle w:val="normaltextrun"/>
          <w:rFonts w:asciiTheme="minorHAnsi" w:hAnsiTheme="minorHAnsi" w:cstheme="minorHAnsi"/>
          <w:color w:val="000000"/>
          <w:shd w:val="clear" w:color="auto" w:fill="FFFFFF"/>
        </w:rPr>
        <w:t>Most</w:t>
      </w:r>
      <w:r w:rsidR="009F0438" w:rsidRPr="00DE1BD4">
        <w:rPr>
          <w:rStyle w:val="normaltextrun"/>
          <w:rFonts w:asciiTheme="minorHAnsi" w:hAnsiTheme="minorHAnsi" w:cstheme="minorHAnsi"/>
          <w:color w:val="000000"/>
          <w:shd w:val="clear" w:color="auto" w:fill="FFFFFF"/>
        </w:rPr>
        <w:t xml:space="preserve"> access networks </w:t>
      </w:r>
      <w:r w:rsidR="00346529" w:rsidRPr="00DE1BD4">
        <w:rPr>
          <w:rStyle w:val="normaltextrun"/>
          <w:rFonts w:asciiTheme="minorHAnsi" w:hAnsiTheme="minorHAnsi" w:cstheme="minorHAnsi"/>
          <w:color w:val="000000"/>
          <w:shd w:val="clear" w:color="auto" w:fill="FFFFFF"/>
        </w:rPr>
        <w:t>are</w:t>
      </w:r>
      <w:r w:rsidR="009F0438" w:rsidRPr="00DE1BD4">
        <w:rPr>
          <w:rStyle w:val="normaltextrun"/>
          <w:rFonts w:asciiTheme="minorHAnsi" w:hAnsiTheme="minorHAnsi" w:cstheme="minorHAnsi"/>
          <w:color w:val="000000"/>
          <w:shd w:val="clear" w:color="auto" w:fill="FFFFFF"/>
        </w:rPr>
        <w:t xml:space="preserve"> via the mobile network</w:t>
      </w:r>
      <w:r w:rsidR="00C04660" w:rsidRPr="00DE1BD4">
        <w:rPr>
          <w:rStyle w:val="normaltextrun"/>
          <w:rFonts w:asciiTheme="minorHAnsi" w:hAnsiTheme="minorHAnsi" w:cstheme="minorHAnsi"/>
          <w:color w:val="000000"/>
          <w:shd w:val="clear" w:color="auto" w:fill="FFFFFF"/>
        </w:rPr>
        <w:t xml:space="preserve"> which is typical in developing </w:t>
      </w:r>
      <w:r w:rsidR="00816ECE" w:rsidRPr="00DE1BD4">
        <w:rPr>
          <w:rStyle w:val="normaltextrun"/>
          <w:rFonts w:asciiTheme="minorHAnsi" w:hAnsiTheme="minorHAnsi" w:cstheme="minorHAnsi"/>
          <w:color w:val="000000"/>
          <w:shd w:val="clear" w:color="auto" w:fill="FFFFFF"/>
        </w:rPr>
        <w:t>telecommunications markets</w:t>
      </w:r>
      <w:r w:rsidR="00492BC2" w:rsidRPr="00DE1BD4">
        <w:rPr>
          <w:rStyle w:val="normaltextrun"/>
          <w:rFonts w:asciiTheme="minorHAnsi" w:hAnsiTheme="minorHAnsi" w:cstheme="minorHAnsi"/>
          <w:color w:val="000000"/>
          <w:shd w:val="clear" w:color="auto" w:fill="FFFFFF"/>
        </w:rPr>
        <w:t xml:space="preserve">. Much of the access network is used to provide connections to mobile base stations </w:t>
      </w:r>
      <w:r w:rsidR="00A172C2" w:rsidRPr="00DE1BD4">
        <w:rPr>
          <w:rStyle w:val="normaltextrun"/>
          <w:rFonts w:asciiTheme="minorHAnsi" w:hAnsiTheme="minorHAnsi" w:cstheme="minorHAnsi"/>
          <w:color w:val="000000"/>
          <w:shd w:val="clear" w:color="auto" w:fill="FFFFFF"/>
        </w:rPr>
        <w:t xml:space="preserve">to </w:t>
      </w:r>
      <w:r w:rsidR="00492BC2" w:rsidRPr="00DE1BD4">
        <w:rPr>
          <w:rStyle w:val="normaltextrun"/>
          <w:rFonts w:asciiTheme="minorHAnsi" w:hAnsiTheme="minorHAnsi" w:cstheme="minorHAnsi"/>
          <w:color w:val="000000"/>
          <w:shd w:val="clear" w:color="auto" w:fill="FFFFFF"/>
        </w:rPr>
        <w:t xml:space="preserve">support the provision of voice and data services over mobile phones. However, these access services can also be </w:t>
      </w:r>
      <w:r w:rsidR="00AF670A">
        <w:rPr>
          <w:rStyle w:val="normaltextrun"/>
          <w:rFonts w:asciiTheme="minorHAnsi" w:hAnsiTheme="minorHAnsi" w:cstheme="minorHAnsi"/>
          <w:color w:val="000000"/>
          <w:shd w:val="clear" w:color="auto" w:fill="FFFFFF"/>
        </w:rPr>
        <w:t xml:space="preserve">fibre to the premises, ADSL and </w:t>
      </w:r>
      <w:r w:rsidR="00492BC2" w:rsidRPr="00DE1BD4">
        <w:rPr>
          <w:rStyle w:val="normaltextrun"/>
          <w:rFonts w:asciiTheme="minorHAnsi" w:hAnsiTheme="minorHAnsi" w:cstheme="minorHAnsi"/>
          <w:color w:val="000000"/>
          <w:shd w:val="clear" w:color="auto" w:fill="FFFFFF"/>
        </w:rPr>
        <w:t>Fixed Wireless Access (FWA) services which support fixed broadband services to subscribers.</w:t>
      </w:r>
    </w:p>
    <w:p w14:paraId="3A54A35D" w14:textId="77777777" w:rsidR="00492BC2" w:rsidRPr="00DE1BD4" w:rsidRDefault="00492BC2" w:rsidP="00492BC2">
      <w:pPr>
        <w:pStyle w:val="Heading2"/>
      </w:pPr>
      <w:bookmarkStart w:id="288" w:name="_Toc181885803"/>
      <w:bookmarkEnd w:id="274"/>
      <w:bookmarkEnd w:id="275"/>
      <w:bookmarkEnd w:id="276"/>
      <w:bookmarkEnd w:id="277"/>
      <w:bookmarkEnd w:id="278"/>
      <w:bookmarkEnd w:id="279"/>
      <w:r w:rsidRPr="00DE1BD4">
        <w:t>Mobile Networks</w:t>
      </w:r>
      <w:bookmarkEnd w:id="288"/>
    </w:p>
    <w:p w14:paraId="51D1BC89" w14:textId="4154B584" w:rsidR="00EB5755" w:rsidRDefault="002129B0" w:rsidP="00A81AC0">
      <w:r>
        <w:t>T</w:t>
      </w:r>
      <w:r w:rsidR="00E14DFC">
        <w:t>he Gambia</w:t>
      </w:r>
      <w:r w:rsidR="00492BC2" w:rsidRPr="00DE1BD4">
        <w:t xml:space="preserve"> has f</w:t>
      </w:r>
      <w:r w:rsidR="000A5707">
        <w:t>our</w:t>
      </w:r>
      <w:r w:rsidR="00492BC2" w:rsidRPr="00DE1BD4">
        <w:t xml:space="preserve"> mobile network companies currently operating in multiple frequency bands (900, 1800,</w:t>
      </w:r>
      <w:r w:rsidR="0090193A">
        <w:t xml:space="preserve"> and</w:t>
      </w:r>
      <w:r w:rsidR="00492BC2" w:rsidRPr="00DE1BD4">
        <w:t xml:space="preserve"> 2100Mhz) providing services across 2, 3 4</w:t>
      </w:r>
      <w:r w:rsidR="00911FDD">
        <w:t xml:space="preserve"> and 5</w:t>
      </w:r>
      <w:r w:rsidR="00492BC2" w:rsidRPr="00DE1BD4">
        <w:t>G technologies</w:t>
      </w:r>
      <w:r w:rsidR="001A5F60" w:rsidRPr="0045782B">
        <w:rPr>
          <w:rStyle w:val="FootnoteReference"/>
        </w:rPr>
        <w:footnoteReference w:id="74"/>
      </w:r>
      <w:r w:rsidR="00492BC2" w:rsidRPr="00DE1BD4">
        <w:t>.</w:t>
      </w:r>
      <w:r w:rsidR="005C1A88" w:rsidRPr="00DE1BD4">
        <w:t xml:space="preserve"> These </w:t>
      </w:r>
      <w:r w:rsidR="000A5707" w:rsidRPr="00DE1BD4">
        <w:t xml:space="preserve">operators, </w:t>
      </w:r>
      <w:proofErr w:type="spellStart"/>
      <w:r w:rsidR="000A5707">
        <w:t>Gamcell</w:t>
      </w:r>
      <w:proofErr w:type="spellEnd"/>
      <w:r w:rsidR="000A5707">
        <w:t xml:space="preserve">, </w:t>
      </w:r>
      <w:r w:rsidR="00404D50" w:rsidRPr="00DE1BD4">
        <w:rPr>
          <w:lang w:eastAsia="en-AU"/>
        </w:rPr>
        <w:t>A</w:t>
      </w:r>
      <w:r w:rsidR="000A5707">
        <w:rPr>
          <w:lang w:eastAsia="en-AU"/>
        </w:rPr>
        <w:t xml:space="preserve">fricell, </w:t>
      </w:r>
      <w:proofErr w:type="spellStart"/>
      <w:r w:rsidR="000A5707">
        <w:rPr>
          <w:lang w:eastAsia="en-AU"/>
        </w:rPr>
        <w:t>QCell</w:t>
      </w:r>
      <w:proofErr w:type="spellEnd"/>
      <w:r w:rsidR="00404D50" w:rsidRPr="00DE1BD4">
        <w:rPr>
          <w:lang w:eastAsia="en-AU"/>
        </w:rPr>
        <w:t xml:space="preserve"> and </w:t>
      </w:r>
      <w:proofErr w:type="spellStart"/>
      <w:r w:rsidR="00070EC7">
        <w:rPr>
          <w:lang w:eastAsia="en-AU"/>
        </w:rPr>
        <w:t>Comium</w:t>
      </w:r>
      <w:proofErr w:type="spellEnd"/>
      <w:r w:rsidR="005C1A88" w:rsidRPr="00DE1BD4">
        <w:t xml:space="preserve"> provide coverage</w:t>
      </w:r>
      <w:r w:rsidR="009747B4" w:rsidRPr="00DE1BD4">
        <w:t xml:space="preserve"> to</w:t>
      </w:r>
      <w:r w:rsidR="00492BC2" w:rsidRPr="00DE1BD4">
        <w:t xml:space="preserve"> 9</w:t>
      </w:r>
      <w:r w:rsidR="00840296">
        <w:t>8</w:t>
      </w:r>
      <w:r w:rsidR="00492BC2" w:rsidRPr="00DE1BD4">
        <w:t xml:space="preserve">% of </w:t>
      </w:r>
      <w:r w:rsidR="00FE2611">
        <w:t>The Gambia</w:t>
      </w:r>
      <w:r w:rsidR="00492BC2" w:rsidRPr="00DE1BD4">
        <w:t xml:space="preserve">’s population </w:t>
      </w:r>
      <w:r w:rsidR="00CF6E84" w:rsidRPr="00DE1BD4">
        <w:t xml:space="preserve">with approximately </w:t>
      </w:r>
      <w:r w:rsidR="00CC3F83" w:rsidRPr="00DE1BD4">
        <w:t>90% covered by 4G technologies</w:t>
      </w:r>
      <w:r w:rsidR="00CC3F83" w:rsidRPr="0045782B">
        <w:rPr>
          <w:rStyle w:val="FootnoteReference"/>
        </w:rPr>
        <w:footnoteReference w:id="75"/>
      </w:r>
      <w:r w:rsidR="00492BC2" w:rsidRPr="00DE1BD4">
        <w:t>.</w:t>
      </w:r>
      <w:r w:rsidR="00B16EBF" w:rsidRPr="00DE1BD4">
        <w:t xml:space="preserve"> </w:t>
      </w:r>
      <w:r w:rsidR="000659A6">
        <w:t xml:space="preserve">Two MNO’s, </w:t>
      </w:r>
      <w:r w:rsidR="00810997">
        <w:t>Africell</w:t>
      </w:r>
      <w:r w:rsidR="000659A6">
        <w:t xml:space="preserve"> and Qcell</w:t>
      </w:r>
      <w:r w:rsidR="00810997">
        <w:t xml:space="preserve"> hold</w:t>
      </w:r>
      <w:r w:rsidR="0054044F">
        <w:t xml:space="preserve"> over </w:t>
      </w:r>
      <w:r w:rsidR="00EB5755">
        <w:t>94</w:t>
      </w:r>
      <w:r w:rsidR="0054044F">
        <w:t>%</w:t>
      </w:r>
      <w:r w:rsidR="00197A0A">
        <w:t xml:space="preserve"> of </w:t>
      </w:r>
      <w:r w:rsidR="00810997">
        <w:t>all subscribers</w:t>
      </w:r>
      <w:r w:rsidR="00A15CA2">
        <w:t xml:space="preserve"> with Africell the dominant MNO with over 63% of the market</w:t>
      </w:r>
      <w:r w:rsidR="00810997" w:rsidRPr="0045782B">
        <w:rPr>
          <w:rStyle w:val="FootnoteReference"/>
        </w:rPr>
        <w:footnoteReference w:id="76"/>
      </w:r>
      <w:r w:rsidR="00616BD8" w:rsidRPr="00DE1BD4">
        <w:t xml:space="preserve">. </w:t>
      </w:r>
      <w:bookmarkStart w:id="289" w:name="_28h4qwu"/>
      <w:bookmarkEnd w:id="289"/>
    </w:p>
    <w:p w14:paraId="1551D69D" w14:textId="77777777" w:rsidR="00066180" w:rsidRDefault="00A15CA2" w:rsidP="00A81AC0">
      <w:r>
        <w:t>T</w:t>
      </w:r>
      <w:r w:rsidR="00ED7AFB">
        <w:t>here is a lack of public information with respect to mobile coverage for each of the operators</w:t>
      </w:r>
      <w:r w:rsidR="00A81AC0">
        <w:t xml:space="preserve"> on their respective websites</w:t>
      </w:r>
      <w:r w:rsidR="00ED7AFB">
        <w:t xml:space="preserve">. </w:t>
      </w:r>
      <w:r w:rsidR="00A81AC0">
        <w:t xml:space="preserve">Some information is available on the GSMA </w:t>
      </w:r>
      <w:r w:rsidR="0028396C">
        <w:t xml:space="preserve">Network Coverage Maps website and other </w:t>
      </w:r>
      <w:r w:rsidR="00A81AC0">
        <w:t>information on coverage can be sourced through third party crowd source information, but this does not show the extent of coverage for th</w:t>
      </w:r>
      <w:r w:rsidR="000B2686">
        <w:t>e</w:t>
      </w:r>
      <w:r w:rsidR="00A81AC0">
        <w:t xml:space="preserve"> MNO</w:t>
      </w:r>
      <w:r w:rsidR="000B2686">
        <w:t>s</w:t>
      </w:r>
      <w:r w:rsidR="00A81AC0">
        <w:t xml:space="preserve">. </w:t>
      </w:r>
      <w:r w:rsidR="0064165E">
        <w:fldChar w:fldCharType="begin"/>
      </w:r>
      <w:r w:rsidR="0064165E">
        <w:instrText xml:space="preserve"> REF _Ref168576361 \h </w:instrText>
      </w:r>
      <w:r w:rsidR="0064165E">
        <w:fldChar w:fldCharType="separate"/>
      </w:r>
      <w:r w:rsidR="0064165E" w:rsidRPr="00DE1BD4">
        <w:t xml:space="preserve">Figure </w:t>
      </w:r>
      <w:r w:rsidR="0064165E">
        <w:rPr>
          <w:noProof/>
        </w:rPr>
        <w:t>9</w:t>
      </w:r>
      <w:r w:rsidR="0064165E">
        <w:fldChar w:fldCharType="end"/>
      </w:r>
      <w:r w:rsidR="0064165E">
        <w:t xml:space="preserve">, </w:t>
      </w:r>
      <w:r w:rsidR="00B13E1B">
        <w:fldChar w:fldCharType="begin"/>
      </w:r>
      <w:r w:rsidR="00B13E1B">
        <w:instrText xml:space="preserve"> REF _Ref180331714 \h </w:instrText>
      </w:r>
      <w:r w:rsidR="00B13E1B">
        <w:fldChar w:fldCharType="separate"/>
      </w:r>
      <w:r w:rsidR="00B13E1B">
        <w:t xml:space="preserve">Figure </w:t>
      </w:r>
      <w:r w:rsidR="00B13E1B">
        <w:rPr>
          <w:noProof/>
        </w:rPr>
        <w:t>10</w:t>
      </w:r>
      <w:r w:rsidR="00B13E1B">
        <w:fldChar w:fldCharType="end"/>
      </w:r>
      <w:r w:rsidR="00B13E1B">
        <w:t xml:space="preserve"> and </w:t>
      </w:r>
      <w:r w:rsidR="00B13E1B">
        <w:fldChar w:fldCharType="begin"/>
      </w:r>
      <w:r w:rsidR="00B13E1B">
        <w:instrText xml:space="preserve"> REF _Ref168585404 \h </w:instrText>
      </w:r>
      <w:r w:rsidR="00B13E1B">
        <w:fldChar w:fldCharType="separate"/>
      </w:r>
      <w:r w:rsidR="00B13E1B" w:rsidRPr="00DE1BD4">
        <w:t xml:space="preserve">Figure </w:t>
      </w:r>
      <w:r w:rsidR="00B13E1B">
        <w:rPr>
          <w:noProof/>
        </w:rPr>
        <w:t>11</w:t>
      </w:r>
      <w:r w:rsidR="00B13E1B">
        <w:fldChar w:fldCharType="end"/>
      </w:r>
      <w:r w:rsidR="0064165E">
        <w:t xml:space="preserve"> </w:t>
      </w:r>
      <w:r w:rsidR="00A81AC0">
        <w:t>below</w:t>
      </w:r>
      <w:r w:rsidR="00B13E1B">
        <w:t xml:space="preserve"> show </w:t>
      </w:r>
      <w:r w:rsidR="008326D0">
        <w:t>combined coverage for all network types for three of the carriers from the GSMA</w:t>
      </w:r>
      <w:r w:rsidR="00A81AC0">
        <w:t xml:space="preserve">. </w:t>
      </w:r>
    </w:p>
    <w:p w14:paraId="1CF5197E" w14:textId="5F9C94CB" w:rsidR="00616BD8" w:rsidRPr="00DE1BD4" w:rsidRDefault="00616BD8" w:rsidP="00616BD8">
      <w:pPr>
        <w:pStyle w:val="Caption"/>
        <w:jc w:val="center"/>
      </w:pPr>
      <w:bookmarkStart w:id="290" w:name="_Ref168576361"/>
      <w:bookmarkStart w:id="291" w:name="_Toc181885871"/>
      <w:r w:rsidRPr="00DE1BD4">
        <w:t xml:space="preserve">Figure </w:t>
      </w:r>
      <w:r w:rsidRPr="00DE1BD4">
        <w:fldChar w:fldCharType="begin"/>
      </w:r>
      <w:r w:rsidRPr="00DE1BD4">
        <w:instrText xml:space="preserve"> SEQ Figure \* ARABIC </w:instrText>
      </w:r>
      <w:r w:rsidRPr="00DE1BD4">
        <w:fldChar w:fldCharType="separate"/>
      </w:r>
      <w:r w:rsidR="003F405A">
        <w:rPr>
          <w:noProof/>
        </w:rPr>
        <w:t>9</w:t>
      </w:r>
      <w:r w:rsidRPr="00DE1BD4">
        <w:fldChar w:fldCharType="end"/>
      </w:r>
      <w:bookmarkEnd w:id="290"/>
      <w:r w:rsidRPr="00DE1BD4">
        <w:t xml:space="preserve"> </w:t>
      </w:r>
      <w:r w:rsidR="004A7C13">
        <w:t>–</w:t>
      </w:r>
      <w:r w:rsidRPr="00DE1BD4">
        <w:t xml:space="preserve"> </w:t>
      </w:r>
      <w:r w:rsidR="004A7C13">
        <w:t>Gamcel Combined GSM and 3G</w:t>
      </w:r>
      <w:r w:rsidRPr="00DE1BD4">
        <w:t xml:space="preserve"> Network Coverage</w:t>
      </w:r>
      <w:r w:rsidR="00836A5C" w:rsidRPr="0045782B">
        <w:rPr>
          <w:rStyle w:val="FootnoteReference"/>
        </w:rPr>
        <w:footnoteReference w:id="77"/>
      </w:r>
      <w:bookmarkEnd w:id="291"/>
    </w:p>
    <w:p w14:paraId="191C3555" w14:textId="7792B9B1" w:rsidR="00616BD8" w:rsidRPr="00DE1BD4" w:rsidRDefault="004A7C13" w:rsidP="004A7C13">
      <w:pPr>
        <w:jc w:val="center"/>
      </w:pPr>
      <w:r w:rsidRPr="004A7C13">
        <w:rPr>
          <w:noProof/>
        </w:rPr>
        <w:drawing>
          <wp:inline distT="0" distB="0" distL="0" distR="0" wp14:anchorId="52EAB5A8" wp14:editId="42C3F088">
            <wp:extent cx="5757238" cy="1600200"/>
            <wp:effectExtent l="0" t="0" r="0" b="0"/>
            <wp:docPr id="1678859869" name="Picture 1" descr="A map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59869" name="Picture 1" descr="A map with purple lines&#10;&#10;Description automatically generated"/>
                    <pic:cNvPicPr/>
                  </pic:nvPicPr>
                  <pic:blipFill>
                    <a:blip r:embed="rId34"/>
                    <a:stretch>
                      <a:fillRect/>
                    </a:stretch>
                  </pic:blipFill>
                  <pic:spPr>
                    <a:xfrm>
                      <a:off x="0" y="0"/>
                      <a:ext cx="5809367" cy="1614689"/>
                    </a:xfrm>
                    <a:prstGeom prst="rect">
                      <a:avLst/>
                    </a:prstGeom>
                  </pic:spPr>
                </pic:pic>
              </a:graphicData>
            </a:graphic>
          </wp:inline>
        </w:drawing>
      </w:r>
    </w:p>
    <w:p w14:paraId="1612297E" w14:textId="12B53A6E" w:rsidR="00E13EE1" w:rsidRDefault="00C9629A" w:rsidP="00C9629A">
      <w:pPr>
        <w:pStyle w:val="Caption"/>
        <w:jc w:val="center"/>
      </w:pPr>
      <w:bookmarkStart w:id="292" w:name="_Ref180331714"/>
      <w:bookmarkStart w:id="293" w:name="_Ref180331698"/>
      <w:bookmarkStart w:id="294" w:name="_Toc181885872"/>
      <w:r>
        <w:t xml:space="preserve">Figure </w:t>
      </w:r>
      <w:r>
        <w:fldChar w:fldCharType="begin"/>
      </w:r>
      <w:r>
        <w:instrText xml:space="preserve"> SEQ Figure \* ARABIC </w:instrText>
      </w:r>
      <w:r>
        <w:fldChar w:fldCharType="separate"/>
      </w:r>
      <w:r w:rsidR="003F405A">
        <w:rPr>
          <w:noProof/>
        </w:rPr>
        <w:t>10</w:t>
      </w:r>
      <w:r>
        <w:fldChar w:fldCharType="end"/>
      </w:r>
      <w:bookmarkEnd w:id="292"/>
      <w:r>
        <w:t xml:space="preserve"> – </w:t>
      </w:r>
      <w:r w:rsidR="000A4893">
        <w:t>Africel</w:t>
      </w:r>
      <w:r w:rsidR="005C1EBA">
        <w:t>l Combined GSM, 3G and LTE</w:t>
      </w:r>
      <w:r>
        <w:t xml:space="preserve"> Network Coverage</w:t>
      </w:r>
      <w:r w:rsidRPr="0045782B">
        <w:rPr>
          <w:rStyle w:val="FootnoteReference"/>
        </w:rPr>
        <w:footnoteReference w:id="78"/>
      </w:r>
      <w:bookmarkEnd w:id="293"/>
      <w:bookmarkEnd w:id="294"/>
    </w:p>
    <w:p w14:paraId="6655AD39" w14:textId="20E2E199" w:rsidR="009A231B" w:rsidRPr="00DE1BD4" w:rsidRDefault="00982E47" w:rsidP="000A3DA7">
      <w:pPr>
        <w:jc w:val="center"/>
      </w:pPr>
      <w:r>
        <w:rPr>
          <w:noProof/>
        </w:rPr>
        <w:drawing>
          <wp:inline distT="0" distB="0" distL="0" distR="0" wp14:anchorId="24719260" wp14:editId="7B4DEF90">
            <wp:extent cx="5787764" cy="1552575"/>
            <wp:effectExtent l="0" t="0" r="3810" b="0"/>
            <wp:docPr id="121591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6644" cy="1554957"/>
                    </a:xfrm>
                    <a:prstGeom prst="rect">
                      <a:avLst/>
                    </a:prstGeom>
                    <a:noFill/>
                  </pic:spPr>
                </pic:pic>
              </a:graphicData>
            </a:graphic>
          </wp:inline>
        </w:drawing>
      </w:r>
    </w:p>
    <w:p w14:paraId="440066D4" w14:textId="0A3EC465" w:rsidR="00AE4908" w:rsidRPr="00DE1BD4" w:rsidRDefault="00AE4908" w:rsidP="00AE4908">
      <w:pPr>
        <w:pStyle w:val="Caption"/>
        <w:jc w:val="center"/>
      </w:pPr>
      <w:bookmarkStart w:id="295" w:name="_Ref168585404"/>
      <w:bookmarkStart w:id="296" w:name="_Toc181885873"/>
      <w:r w:rsidRPr="00DE1BD4">
        <w:t xml:space="preserve">Figure </w:t>
      </w:r>
      <w:r w:rsidRPr="00DE1BD4">
        <w:fldChar w:fldCharType="begin"/>
      </w:r>
      <w:r w:rsidRPr="00DE1BD4">
        <w:instrText xml:space="preserve"> SEQ Figure \* ARABIC </w:instrText>
      </w:r>
      <w:r w:rsidRPr="00DE1BD4">
        <w:fldChar w:fldCharType="separate"/>
      </w:r>
      <w:r w:rsidR="003F405A">
        <w:rPr>
          <w:noProof/>
        </w:rPr>
        <w:t>11</w:t>
      </w:r>
      <w:r w:rsidRPr="00DE1BD4">
        <w:fldChar w:fldCharType="end"/>
      </w:r>
      <w:bookmarkEnd w:id="295"/>
      <w:r w:rsidRPr="00DE1BD4">
        <w:t xml:space="preserve"> </w:t>
      </w:r>
      <w:r w:rsidR="00512BDE">
        <w:t>–</w:t>
      </w:r>
      <w:r w:rsidRPr="00DE1BD4">
        <w:t xml:space="preserve"> </w:t>
      </w:r>
      <w:proofErr w:type="spellStart"/>
      <w:r w:rsidR="00EA0091">
        <w:t>QCell</w:t>
      </w:r>
      <w:proofErr w:type="spellEnd"/>
      <w:r w:rsidR="00EA0091">
        <w:t xml:space="preserve"> Combined GSM, 3G and LTE Network</w:t>
      </w:r>
      <w:r w:rsidR="00220612" w:rsidRPr="0045782B">
        <w:rPr>
          <w:rStyle w:val="FootnoteReference"/>
        </w:rPr>
        <w:footnoteReference w:id="79"/>
      </w:r>
      <w:bookmarkEnd w:id="296"/>
    </w:p>
    <w:p w14:paraId="59247322" w14:textId="6F7190C2" w:rsidR="00492BC2" w:rsidRDefault="007102DC" w:rsidP="00AE4908">
      <w:pPr>
        <w:jc w:val="center"/>
      </w:pPr>
      <w:r>
        <w:rPr>
          <w:noProof/>
        </w:rPr>
        <w:drawing>
          <wp:inline distT="0" distB="0" distL="0" distR="0" wp14:anchorId="3A53FD8B" wp14:editId="0B4BA124">
            <wp:extent cx="5800725" cy="1476375"/>
            <wp:effectExtent l="0" t="0" r="9525" b="9525"/>
            <wp:docPr id="635102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725" cy="1476375"/>
                    </a:xfrm>
                    <a:prstGeom prst="rect">
                      <a:avLst/>
                    </a:prstGeom>
                    <a:noFill/>
                  </pic:spPr>
                </pic:pic>
              </a:graphicData>
            </a:graphic>
          </wp:inline>
        </w:drawing>
      </w:r>
    </w:p>
    <w:p w14:paraId="36F95352" w14:textId="7ABFB6EA" w:rsidR="00066180" w:rsidRDefault="00066180" w:rsidP="00066180">
      <w:r>
        <w:t>It is possible to obtain a real-world coverage analysis through crowd sourcing of data</w:t>
      </w:r>
      <w:r w:rsidR="00285E15">
        <w:t xml:space="preserve">. In this case </w:t>
      </w:r>
      <w:r w:rsidR="007368AF">
        <w:fldChar w:fldCharType="begin"/>
      </w:r>
      <w:r w:rsidR="007368AF">
        <w:instrText xml:space="preserve"> REF _Ref180332661 \h </w:instrText>
      </w:r>
      <w:r w:rsidR="007368AF">
        <w:fldChar w:fldCharType="separate"/>
      </w:r>
      <w:r w:rsidR="007368AF">
        <w:t xml:space="preserve">Figure </w:t>
      </w:r>
      <w:r w:rsidR="007368AF">
        <w:rPr>
          <w:noProof/>
        </w:rPr>
        <w:t>12</w:t>
      </w:r>
      <w:r w:rsidR="007368AF">
        <w:fldChar w:fldCharType="end"/>
      </w:r>
      <w:r w:rsidR="00285E15">
        <w:t xml:space="preserve"> below shows an example of crowd sourced data for </w:t>
      </w:r>
      <w:proofErr w:type="spellStart"/>
      <w:r w:rsidR="00285E15">
        <w:t>Comium</w:t>
      </w:r>
      <w:proofErr w:type="spellEnd"/>
      <w:r w:rsidR="00285E15">
        <w:t>, which is not available on the GSMA website.</w:t>
      </w:r>
      <w:r w:rsidR="00F77F58">
        <w:t xml:space="preserve"> Similar data for the other three carriers is also provided. </w:t>
      </w:r>
      <w:r w:rsidR="003A11FC">
        <w:t>The</w:t>
      </w:r>
      <w:r>
        <w:t xml:space="preserve"> limited data may not be that useable in a disaster scenario.</w:t>
      </w:r>
    </w:p>
    <w:p w14:paraId="6139B43B" w14:textId="45D57641" w:rsidR="006A371B" w:rsidRDefault="003A11FC" w:rsidP="003A11FC">
      <w:pPr>
        <w:pStyle w:val="Caption"/>
        <w:jc w:val="center"/>
      </w:pPr>
      <w:bookmarkStart w:id="297" w:name="_Ref180332661"/>
      <w:bookmarkStart w:id="298" w:name="_Toc181885874"/>
      <w:r>
        <w:t xml:space="preserve">Figure </w:t>
      </w:r>
      <w:r>
        <w:fldChar w:fldCharType="begin"/>
      </w:r>
      <w:r>
        <w:instrText xml:space="preserve"> SEQ Figure \* ARABIC </w:instrText>
      </w:r>
      <w:r>
        <w:fldChar w:fldCharType="separate"/>
      </w:r>
      <w:r w:rsidR="003F405A">
        <w:rPr>
          <w:noProof/>
        </w:rPr>
        <w:t>12</w:t>
      </w:r>
      <w:r>
        <w:fldChar w:fldCharType="end"/>
      </w:r>
      <w:bookmarkEnd w:id="297"/>
      <w:r>
        <w:t xml:space="preserve"> - </w:t>
      </w:r>
      <w:r w:rsidR="005537E2">
        <w:t>Crowdsourced</w:t>
      </w:r>
      <w:r>
        <w:t xml:space="preserve"> Coverage - </w:t>
      </w:r>
      <w:proofErr w:type="spellStart"/>
      <w:r>
        <w:t>Comium</w:t>
      </w:r>
      <w:proofErr w:type="spellEnd"/>
      <w:r w:rsidRPr="0045782B">
        <w:rPr>
          <w:rStyle w:val="FootnoteReference"/>
        </w:rPr>
        <w:footnoteReference w:id="80"/>
      </w:r>
      <w:bookmarkEnd w:id="298"/>
    </w:p>
    <w:p w14:paraId="6828BC50" w14:textId="4C0DCF30" w:rsidR="006A371B" w:rsidRDefault="006A371B" w:rsidP="006A371B">
      <w:pPr>
        <w:jc w:val="center"/>
      </w:pPr>
      <w:r w:rsidRPr="006A371B">
        <w:rPr>
          <w:noProof/>
        </w:rPr>
        <w:drawing>
          <wp:inline distT="0" distB="0" distL="0" distR="0" wp14:anchorId="48D24FBC" wp14:editId="408C7884">
            <wp:extent cx="4683469" cy="3767138"/>
            <wp:effectExtent l="0" t="0" r="3175" b="5080"/>
            <wp:docPr id="93089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96988" name=""/>
                    <pic:cNvPicPr/>
                  </pic:nvPicPr>
                  <pic:blipFill>
                    <a:blip r:embed="rId37"/>
                    <a:stretch>
                      <a:fillRect/>
                    </a:stretch>
                  </pic:blipFill>
                  <pic:spPr>
                    <a:xfrm>
                      <a:off x="0" y="0"/>
                      <a:ext cx="4737756" cy="3810804"/>
                    </a:xfrm>
                    <a:prstGeom prst="rect">
                      <a:avLst/>
                    </a:prstGeom>
                  </pic:spPr>
                </pic:pic>
              </a:graphicData>
            </a:graphic>
          </wp:inline>
        </w:drawing>
      </w:r>
    </w:p>
    <w:p w14:paraId="12ABCF00" w14:textId="0C6FF7F0" w:rsidR="00066180" w:rsidRDefault="00256BF8" w:rsidP="00256BF8">
      <w:pPr>
        <w:pStyle w:val="Caption"/>
        <w:jc w:val="center"/>
      </w:pPr>
      <w:bookmarkStart w:id="299" w:name="_Toc181885875"/>
      <w:r>
        <w:t xml:space="preserve">Figure </w:t>
      </w:r>
      <w:r>
        <w:fldChar w:fldCharType="begin"/>
      </w:r>
      <w:r>
        <w:instrText xml:space="preserve"> SEQ Figure \* ARABIC </w:instrText>
      </w:r>
      <w:r>
        <w:fldChar w:fldCharType="separate"/>
      </w:r>
      <w:r w:rsidR="003F405A">
        <w:rPr>
          <w:noProof/>
        </w:rPr>
        <w:t>13</w:t>
      </w:r>
      <w:r>
        <w:fldChar w:fldCharType="end"/>
      </w:r>
      <w:r>
        <w:t xml:space="preserve"> - Crowdsourced Coverage Data - Gamcel</w:t>
      </w:r>
      <w:r w:rsidRPr="0045782B">
        <w:rPr>
          <w:rStyle w:val="FootnoteReference"/>
        </w:rPr>
        <w:footnoteReference w:id="81"/>
      </w:r>
      <w:bookmarkEnd w:id="299"/>
    </w:p>
    <w:p w14:paraId="0F217EC5" w14:textId="31FB1698" w:rsidR="00201390" w:rsidRDefault="00BD2E53" w:rsidP="001F5213">
      <w:pPr>
        <w:jc w:val="center"/>
      </w:pPr>
      <w:r>
        <w:rPr>
          <w:noProof/>
        </w:rPr>
        <w:drawing>
          <wp:inline distT="0" distB="0" distL="0" distR="0" wp14:anchorId="4B3C921C" wp14:editId="489C7E3B">
            <wp:extent cx="4542256" cy="3286125"/>
            <wp:effectExtent l="0" t="0" r="0" b="0"/>
            <wp:docPr id="1369501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6443" cy="3296389"/>
                    </a:xfrm>
                    <a:prstGeom prst="rect">
                      <a:avLst/>
                    </a:prstGeom>
                    <a:noFill/>
                  </pic:spPr>
                </pic:pic>
              </a:graphicData>
            </a:graphic>
          </wp:inline>
        </w:drawing>
      </w:r>
    </w:p>
    <w:p w14:paraId="0B076CCA" w14:textId="5B281363" w:rsidR="00393A2D" w:rsidRDefault="00393A2D" w:rsidP="00393A2D">
      <w:pPr>
        <w:pStyle w:val="Caption"/>
        <w:jc w:val="center"/>
      </w:pPr>
      <w:bookmarkStart w:id="300" w:name="_Toc181885876"/>
      <w:r>
        <w:t xml:space="preserve">Figure </w:t>
      </w:r>
      <w:r>
        <w:fldChar w:fldCharType="begin"/>
      </w:r>
      <w:r>
        <w:instrText xml:space="preserve"> SEQ Figure \* ARABIC </w:instrText>
      </w:r>
      <w:r>
        <w:fldChar w:fldCharType="separate"/>
      </w:r>
      <w:r w:rsidR="003F405A">
        <w:rPr>
          <w:noProof/>
        </w:rPr>
        <w:t>14</w:t>
      </w:r>
      <w:r>
        <w:fldChar w:fldCharType="end"/>
      </w:r>
      <w:r>
        <w:t xml:space="preserve"> - Crowdsourced Coverage - Africell</w:t>
      </w:r>
      <w:r w:rsidR="005537E2" w:rsidRPr="0045782B">
        <w:rPr>
          <w:rStyle w:val="FootnoteReference"/>
        </w:rPr>
        <w:footnoteReference w:id="82"/>
      </w:r>
      <w:bookmarkEnd w:id="300"/>
    </w:p>
    <w:p w14:paraId="146893BB" w14:textId="4067CFDF" w:rsidR="00393A2D" w:rsidRDefault="00393A2D" w:rsidP="001F5213">
      <w:pPr>
        <w:jc w:val="center"/>
      </w:pPr>
      <w:r>
        <w:rPr>
          <w:noProof/>
        </w:rPr>
        <w:drawing>
          <wp:inline distT="0" distB="0" distL="0" distR="0" wp14:anchorId="31ACF07F" wp14:editId="61209B44">
            <wp:extent cx="3890327" cy="3434627"/>
            <wp:effectExtent l="0" t="0" r="0" b="0"/>
            <wp:docPr id="1777152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6673" cy="3449058"/>
                    </a:xfrm>
                    <a:prstGeom prst="rect">
                      <a:avLst/>
                    </a:prstGeom>
                    <a:noFill/>
                  </pic:spPr>
                </pic:pic>
              </a:graphicData>
            </a:graphic>
          </wp:inline>
        </w:drawing>
      </w:r>
    </w:p>
    <w:p w14:paraId="52A182FD" w14:textId="18265F44" w:rsidR="007368AF" w:rsidRDefault="00F722D0" w:rsidP="00F722D0">
      <w:pPr>
        <w:pStyle w:val="Caption"/>
        <w:jc w:val="center"/>
      </w:pPr>
      <w:bookmarkStart w:id="301" w:name="_Toc181885877"/>
      <w:r>
        <w:t xml:space="preserve">Figure </w:t>
      </w:r>
      <w:r>
        <w:fldChar w:fldCharType="begin"/>
      </w:r>
      <w:r>
        <w:instrText xml:space="preserve"> SEQ Figure \* ARABIC </w:instrText>
      </w:r>
      <w:r>
        <w:fldChar w:fldCharType="separate"/>
      </w:r>
      <w:r w:rsidR="003F405A">
        <w:rPr>
          <w:noProof/>
        </w:rPr>
        <w:t>15</w:t>
      </w:r>
      <w:r>
        <w:fldChar w:fldCharType="end"/>
      </w:r>
      <w:r>
        <w:t xml:space="preserve"> - Crowdsourced Coverage - </w:t>
      </w:r>
      <w:proofErr w:type="spellStart"/>
      <w:r>
        <w:t>Q</w:t>
      </w:r>
      <w:r w:rsidR="005A3D68">
        <w:t>C</w:t>
      </w:r>
      <w:r>
        <w:t>ell</w:t>
      </w:r>
      <w:proofErr w:type="spellEnd"/>
      <w:r w:rsidR="00F978AD" w:rsidRPr="0045782B">
        <w:rPr>
          <w:rStyle w:val="FootnoteReference"/>
        </w:rPr>
        <w:footnoteReference w:id="83"/>
      </w:r>
      <w:bookmarkEnd w:id="301"/>
    </w:p>
    <w:p w14:paraId="24C7F8B9" w14:textId="546023A5" w:rsidR="007368AF" w:rsidRDefault="00F722D0" w:rsidP="001F5213">
      <w:pPr>
        <w:jc w:val="center"/>
      </w:pPr>
      <w:r>
        <w:rPr>
          <w:noProof/>
        </w:rPr>
        <w:drawing>
          <wp:inline distT="0" distB="0" distL="0" distR="0" wp14:anchorId="0F81BB3C" wp14:editId="18E22CE7">
            <wp:extent cx="3361869" cy="3495675"/>
            <wp:effectExtent l="0" t="0" r="0" b="0"/>
            <wp:docPr id="988683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2106" cy="3506319"/>
                    </a:xfrm>
                    <a:prstGeom prst="rect">
                      <a:avLst/>
                    </a:prstGeom>
                    <a:noFill/>
                  </pic:spPr>
                </pic:pic>
              </a:graphicData>
            </a:graphic>
          </wp:inline>
        </w:drawing>
      </w:r>
    </w:p>
    <w:p w14:paraId="0F35689D" w14:textId="06614FCA" w:rsidR="00094419" w:rsidRPr="00DE1BD4" w:rsidRDefault="00094419" w:rsidP="00094419">
      <w:pPr>
        <w:pStyle w:val="Heading2"/>
      </w:pPr>
      <w:bookmarkStart w:id="302" w:name="_Toc181885804"/>
      <w:r w:rsidRPr="00DE1BD4">
        <w:t xml:space="preserve">International </w:t>
      </w:r>
      <w:r w:rsidRPr="00600B10">
        <w:t>Connectivity - Submarine Cables</w:t>
      </w:r>
      <w:bookmarkEnd w:id="302"/>
    </w:p>
    <w:p w14:paraId="0EFB0643" w14:textId="66759AF2" w:rsidR="00094419" w:rsidRPr="00DE1BD4" w:rsidRDefault="00F049F2" w:rsidP="00094419">
      <w:r w:rsidRPr="00DE1BD4">
        <w:t>T</w:t>
      </w:r>
      <w:r w:rsidR="00904D8F">
        <w:t>he Gambia</w:t>
      </w:r>
      <w:r w:rsidR="00C70D1D" w:rsidRPr="00DE1BD4">
        <w:t xml:space="preserve"> is </w:t>
      </w:r>
      <w:r w:rsidR="00094419" w:rsidRPr="00DE1BD4">
        <w:t xml:space="preserve">supported by </w:t>
      </w:r>
      <w:r w:rsidR="00904D8F">
        <w:t xml:space="preserve">a </w:t>
      </w:r>
      <w:r w:rsidR="00C00F65">
        <w:t>single</w:t>
      </w:r>
      <w:r w:rsidR="00C00F65" w:rsidRPr="00DE1BD4">
        <w:t xml:space="preserve"> submarine cable</w:t>
      </w:r>
      <w:r w:rsidR="00094419" w:rsidRPr="00DE1BD4">
        <w:t xml:space="preserve">: the </w:t>
      </w:r>
      <w:r w:rsidR="00D21A4F" w:rsidRPr="00DE1BD4">
        <w:t xml:space="preserve">Africa </w:t>
      </w:r>
      <w:r w:rsidR="00C00F65">
        <w:t>Coast to Europe</w:t>
      </w:r>
      <w:r w:rsidR="003F4C96">
        <w:t xml:space="preserve"> (ACE) s</w:t>
      </w:r>
      <w:r w:rsidR="001252D3" w:rsidRPr="00DE1BD4">
        <w:t>ubmarine</w:t>
      </w:r>
      <w:r w:rsidR="00D21A4F" w:rsidRPr="00DE1BD4">
        <w:t xml:space="preserve"> </w:t>
      </w:r>
      <w:r w:rsidR="003F4C96">
        <w:t>cable</w:t>
      </w:r>
      <w:r w:rsidR="00533A74" w:rsidRPr="00DE1BD4">
        <w:t xml:space="preserve">. </w:t>
      </w:r>
      <w:r w:rsidR="003F4C96">
        <w:t>T</w:t>
      </w:r>
      <w:r w:rsidR="00D7334B" w:rsidRPr="00DE1BD4">
        <w:t>h</w:t>
      </w:r>
      <w:r w:rsidR="003F4C96">
        <w:t>is</w:t>
      </w:r>
      <w:r w:rsidR="00AA2E5E" w:rsidRPr="00DE1BD4">
        <w:t xml:space="preserve"> cable land</w:t>
      </w:r>
      <w:r w:rsidR="003F4C96">
        <w:t>s</w:t>
      </w:r>
      <w:r w:rsidR="00AA2E5E" w:rsidRPr="00DE1BD4">
        <w:t xml:space="preserve"> in the coastal town of </w:t>
      </w:r>
      <w:r w:rsidR="003F4C96">
        <w:t xml:space="preserve">Banjul </w:t>
      </w:r>
      <w:r w:rsidR="00533A74" w:rsidRPr="00DE1BD4">
        <w:t xml:space="preserve">in </w:t>
      </w:r>
      <w:r w:rsidR="00B34786">
        <w:t xml:space="preserve">a </w:t>
      </w:r>
      <w:r w:rsidR="003A37C7">
        <w:t xml:space="preserve">single </w:t>
      </w:r>
      <w:r w:rsidR="00533A74" w:rsidRPr="00DE1BD4">
        <w:t>cable landing stations</w:t>
      </w:r>
      <w:r w:rsidR="004A645C">
        <w:t xml:space="preserve"> as shown in </w:t>
      </w:r>
      <w:r w:rsidR="004A645C">
        <w:fldChar w:fldCharType="begin"/>
      </w:r>
      <w:r w:rsidR="004A645C">
        <w:instrText xml:space="preserve"> REF _Ref174271496 \h </w:instrText>
      </w:r>
      <w:r w:rsidR="004A645C">
        <w:fldChar w:fldCharType="separate"/>
      </w:r>
      <w:r w:rsidR="00C0265F" w:rsidRPr="00DE1BD4">
        <w:t xml:space="preserve">Figure </w:t>
      </w:r>
      <w:r w:rsidR="00C0265F">
        <w:rPr>
          <w:noProof/>
        </w:rPr>
        <w:t>16</w:t>
      </w:r>
      <w:r w:rsidR="004A645C">
        <w:fldChar w:fldCharType="end"/>
      </w:r>
      <w:r w:rsidR="004A645C">
        <w:t>.</w:t>
      </w:r>
      <w:r w:rsidR="00BC2370" w:rsidRPr="00DE1BD4">
        <w:t xml:space="preserve"> </w:t>
      </w:r>
    </w:p>
    <w:p w14:paraId="31319DE7" w14:textId="485232D1" w:rsidR="000007CB" w:rsidRPr="00DE1BD4" w:rsidRDefault="000007CB" w:rsidP="00E867BB">
      <w:pPr>
        <w:pStyle w:val="Caption"/>
        <w:jc w:val="center"/>
      </w:pPr>
      <w:bookmarkStart w:id="303" w:name="_Ref174271496"/>
      <w:bookmarkStart w:id="304" w:name="_Toc181885878"/>
      <w:r w:rsidRPr="00DE1BD4">
        <w:t xml:space="preserve">Figure </w:t>
      </w:r>
      <w:r w:rsidRPr="00DE1BD4">
        <w:fldChar w:fldCharType="begin"/>
      </w:r>
      <w:r w:rsidRPr="00DE1BD4">
        <w:instrText xml:space="preserve"> SEQ Figure \* ARABIC </w:instrText>
      </w:r>
      <w:r w:rsidRPr="00DE1BD4">
        <w:fldChar w:fldCharType="separate"/>
      </w:r>
      <w:r w:rsidR="003F405A">
        <w:rPr>
          <w:noProof/>
        </w:rPr>
        <w:t>16</w:t>
      </w:r>
      <w:r w:rsidRPr="00DE1BD4">
        <w:fldChar w:fldCharType="end"/>
      </w:r>
      <w:bookmarkEnd w:id="303"/>
      <w:r w:rsidR="00E867BB" w:rsidRPr="00DE1BD4">
        <w:t xml:space="preserve"> – </w:t>
      </w:r>
      <w:r w:rsidR="003A37C7">
        <w:t>Africa</w:t>
      </w:r>
      <w:r w:rsidR="0058298F">
        <w:t xml:space="preserve"> Coast to Europe Route</w:t>
      </w:r>
      <w:r w:rsidR="00181682" w:rsidRPr="0045782B">
        <w:rPr>
          <w:rStyle w:val="FootnoteReference"/>
        </w:rPr>
        <w:footnoteReference w:id="84"/>
      </w:r>
      <w:bookmarkEnd w:id="304"/>
    </w:p>
    <w:p w14:paraId="2AD69EFC" w14:textId="493DF7ED" w:rsidR="000007CB" w:rsidRPr="00DE1BD4" w:rsidRDefault="00F046DD" w:rsidP="000007CB">
      <w:pPr>
        <w:jc w:val="center"/>
      </w:pPr>
      <w:r>
        <w:rPr>
          <w:noProof/>
        </w:rPr>
        <w:drawing>
          <wp:inline distT="0" distB="0" distL="0" distR="0" wp14:anchorId="2598FB3C" wp14:editId="5D1B39C8">
            <wp:extent cx="2943225" cy="5620742"/>
            <wp:effectExtent l="0" t="0" r="0" b="0"/>
            <wp:docPr id="23294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8285" cy="5649502"/>
                    </a:xfrm>
                    <a:prstGeom prst="rect">
                      <a:avLst/>
                    </a:prstGeom>
                    <a:noFill/>
                  </pic:spPr>
                </pic:pic>
              </a:graphicData>
            </a:graphic>
          </wp:inline>
        </w:drawing>
      </w:r>
    </w:p>
    <w:p w14:paraId="7E8E2118" w14:textId="5AB960AF" w:rsidR="00094419" w:rsidRPr="00DE1BD4" w:rsidRDefault="00094419" w:rsidP="00094419">
      <w:pPr>
        <w:rPr>
          <w:rStyle w:val="normaltextrun"/>
          <w:rFonts w:asciiTheme="minorHAnsi" w:hAnsiTheme="minorHAnsi" w:cstheme="minorHAnsi"/>
          <w:color w:val="000000"/>
          <w:shd w:val="clear" w:color="auto" w:fill="FFFFFF"/>
        </w:rPr>
      </w:pPr>
      <w:bookmarkStart w:id="305" w:name="_Hlk174180742"/>
      <w:r w:rsidRPr="00DE1BD4">
        <w:rPr>
          <w:rStyle w:val="normaltextrun"/>
          <w:rFonts w:asciiTheme="minorHAnsi" w:hAnsiTheme="minorHAnsi" w:cstheme="minorHAnsi"/>
          <w:color w:val="000000"/>
          <w:shd w:val="clear" w:color="auto" w:fill="FFFFFF"/>
        </w:rPr>
        <w:t xml:space="preserve">The </w:t>
      </w:r>
      <w:r w:rsidR="001C11AE">
        <w:rPr>
          <w:rStyle w:val="normaltextrun"/>
          <w:rFonts w:asciiTheme="minorHAnsi" w:hAnsiTheme="minorHAnsi" w:cstheme="minorHAnsi"/>
          <w:color w:val="000000"/>
          <w:shd w:val="clear" w:color="auto" w:fill="FFFFFF"/>
        </w:rPr>
        <w:t>ACE</w:t>
      </w:r>
      <w:r w:rsidR="00BC2370" w:rsidRPr="00DE1BD4">
        <w:rPr>
          <w:rStyle w:val="normaltextrun"/>
          <w:rFonts w:asciiTheme="minorHAnsi" w:hAnsiTheme="minorHAnsi" w:cstheme="minorHAnsi"/>
          <w:color w:val="000000"/>
          <w:shd w:val="clear" w:color="auto" w:fill="FFFFFF"/>
        </w:rPr>
        <w:t xml:space="preserve"> cable has been operational </w:t>
      </w:r>
      <w:r w:rsidR="00FB776B" w:rsidRPr="00DE1BD4">
        <w:rPr>
          <w:rStyle w:val="normaltextrun"/>
          <w:rFonts w:asciiTheme="minorHAnsi" w:hAnsiTheme="minorHAnsi" w:cstheme="minorHAnsi"/>
          <w:color w:val="000000"/>
          <w:shd w:val="clear" w:color="auto" w:fill="FFFFFF"/>
        </w:rPr>
        <w:t>since 201</w:t>
      </w:r>
      <w:r w:rsidR="001C11AE">
        <w:rPr>
          <w:rStyle w:val="normaltextrun"/>
          <w:rFonts w:asciiTheme="minorHAnsi" w:hAnsiTheme="minorHAnsi" w:cstheme="minorHAnsi"/>
          <w:color w:val="000000"/>
          <w:shd w:val="clear" w:color="auto" w:fill="FFFFFF"/>
        </w:rPr>
        <w:t>2</w:t>
      </w:r>
      <w:r w:rsidR="00B55FBE">
        <w:rPr>
          <w:rStyle w:val="normaltextrun"/>
          <w:rFonts w:asciiTheme="minorHAnsi" w:hAnsiTheme="minorHAnsi" w:cstheme="minorHAnsi"/>
          <w:color w:val="000000"/>
          <w:shd w:val="clear" w:color="auto" w:fill="FFFFFF"/>
        </w:rPr>
        <w:t xml:space="preserve"> with a design life out to 2034</w:t>
      </w:r>
      <w:r w:rsidR="00F5738E">
        <w:rPr>
          <w:rStyle w:val="normaltextrun"/>
          <w:rFonts w:asciiTheme="minorHAnsi" w:hAnsiTheme="minorHAnsi" w:cstheme="minorHAnsi"/>
          <w:color w:val="000000"/>
          <w:shd w:val="clear" w:color="auto" w:fill="FFFFFF"/>
        </w:rPr>
        <w:t xml:space="preserve"> and is consortium owned by multiple telecommunications company, </w:t>
      </w:r>
      <w:r w:rsidR="00137E53">
        <w:rPr>
          <w:rStyle w:val="normaltextrun"/>
          <w:rFonts w:asciiTheme="minorHAnsi" w:hAnsiTheme="minorHAnsi" w:cstheme="minorHAnsi"/>
          <w:color w:val="000000"/>
          <w:shd w:val="clear" w:color="auto" w:fill="FFFFFF"/>
        </w:rPr>
        <w:t>including The Gambian Submarine Company</w:t>
      </w:r>
      <w:r w:rsidR="001A33C5" w:rsidRPr="0045782B">
        <w:rPr>
          <w:rStyle w:val="FootnoteReference"/>
        </w:rPr>
        <w:footnoteReference w:id="85"/>
      </w:r>
      <w:r w:rsidR="00137E53">
        <w:rPr>
          <w:rStyle w:val="normaltextrun"/>
          <w:rFonts w:asciiTheme="minorHAnsi" w:hAnsiTheme="minorHAnsi" w:cstheme="minorHAnsi"/>
          <w:color w:val="000000"/>
          <w:shd w:val="clear" w:color="auto" w:fill="FFFFFF"/>
        </w:rPr>
        <w:t>.</w:t>
      </w:r>
      <w:r w:rsidR="00B81A43" w:rsidRPr="00DE1BD4">
        <w:rPr>
          <w:rStyle w:val="normaltextrun"/>
          <w:rFonts w:asciiTheme="minorHAnsi" w:hAnsiTheme="minorHAnsi" w:cstheme="minorHAnsi"/>
          <w:color w:val="000000"/>
          <w:shd w:val="clear" w:color="auto" w:fill="FFFFFF"/>
        </w:rPr>
        <w:t xml:space="preserve"> </w:t>
      </w:r>
      <w:r w:rsidR="00C0265F">
        <w:rPr>
          <w:rStyle w:val="normaltextrun"/>
          <w:rFonts w:asciiTheme="minorHAnsi" w:hAnsiTheme="minorHAnsi" w:cstheme="minorHAnsi"/>
          <w:color w:val="000000"/>
          <w:shd w:val="clear" w:color="auto" w:fill="FFFFFF"/>
        </w:rPr>
        <w:fldChar w:fldCharType="begin"/>
      </w:r>
      <w:r w:rsidR="00C0265F">
        <w:rPr>
          <w:rStyle w:val="normaltextrun"/>
          <w:rFonts w:asciiTheme="minorHAnsi" w:hAnsiTheme="minorHAnsi" w:cstheme="minorHAnsi"/>
          <w:color w:val="000000"/>
          <w:shd w:val="clear" w:color="auto" w:fill="FFFFFF"/>
        </w:rPr>
        <w:instrText xml:space="preserve"> REF _Ref174271496 \h </w:instrText>
      </w:r>
      <w:r w:rsidR="00C0265F">
        <w:rPr>
          <w:rStyle w:val="normaltextrun"/>
          <w:rFonts w:asciiTheme="minorHAnsi" w:hAnsiTheme="minorHAnsi" w:cstheme="minorHAnsi"/>
          <w:color w:val="000000"/>
          <w:shd w:val="clear" w:color="auto" w:fill="FFFFFF"/>
        </w:rPr>
      </w:r>
      <w:r w:rsidR="00C0265F">
        <w:rPr>
          <w:rStyle w:val="normaltextrun"/>
          <w:rFonts w:asciiTheme="minorHAnsi" w:hAnsiTheme="minorHAnsi" w:cstheme="minorHAnsi"/>
          <w:color w:val="000000"/>
          <w:shd w:val="clear" w:color="auto" w:fill="FFFFFF"/>
        </w:rPr>
        <w:fldChar w:fldCharType="separate"/>
      </w:r>
      <w:r w:rsidR="00C0265F" w:rsidRPr="00DE1BD4">
        <w:t xml:space="preserve">Figure </w:t>
      </w:r>
      <w:r w:rsidR="00C0265F">
        <w:rPr>
          <w:noProof/>
        </w:rPr>
        <w:t>16</w:t>
      </w:r>
      <w:r w:rsidR="00C0265F">
        <w:rPr>
          <w:rStyle w:val="normaltextrun"/>
          <w:rFonts w:asciiTheme="minorHAnsi" w:hAnsiTheme="minorHAnsi" w:cstheme="minorHAnsi"/>
          <w:color w:val="000000"/>
          <w:shd w:val="clear" w:color="auto" w:fill="FFFFFF"/>
        </w:rPr>
        <w:fldChar w:fldCharType="end"/>
      </w:r>
      <w:r w:rsidR="00401DAD">
        <w:rPr>
          <w:rStyle w:val="normaltextrun"/>
          <w:rFonts w:asciiTheme="minorHAnsi" w:hAnsiTheme="minorHAnsi" w:cstheme="minorHAnsi"/>
          <w:color w:val="000000"/>
          <w:shd w:val="clear" w:color="auto" w:fill="FFFFFF"/>
        </w:rPr>
        <w:t xml:space="preserve"> above, </w:t>
      </w:r>
      <w:r w:rsidR="00C0265F">
        <w:rPr>
          <w:rStyle w:val="normaltextrun"/>
          <w:rFonts w:asciiTheme="minorHAnsi" w:hAnsiTheme="minorHAnsi" w:cstheme="minorHAnsi"/>
          <w:color w:val="000000"/>
          <w:shd w:val="clear" w:color="auto" w:fill="FFFFFF"/>
        </w:rPr>
        <w:fldChar w:fldCharType="begin"/>
      </w:r>
      <w:r w:rsidR="00C0265F">
        <w:rPr>
          <w:rStyle w:val="normaltextrun"/>
          <w:rFonts w:asciiTheme="minorHAnsi" w:hAnsiTheme="minorHAnsi" w:cstheme="minorHAnsi"/>
          <w:color w:val="000000"/>
          <w:shd w:val="clear" w:color="auto" w:fill="FFFFFF"/>
        </w:rPr>
        <w:instrText xml:space="preserve"> REF _Ref174271496 \h </w:instrText>
      </w:r>
      <w:r w:rsidR="00C0265F">
        <w:rPr>
          <w:rStyle w:val="normaltextrun"/>
          <w:rFonts w:asciiTheme="minorHAnsi" w:hAnsiTheme="minorHAnsi" w:cstheme="minorHAnsi"/>
          <w:color w:val="000000"/>
          <w:shd w:val="clear" w:color="auto" w:fill="FFFFFF"/>
        </w:rPr>
      </w:r>
      <w:r w:rsidR="00C0265F">
        <w:rPr>
          <w:rStyle w:val="normaltextrun"/>
          <w:rFonts w:asciiTheme="minorHAnsi" w:hAnsiTheme="minorHAnsi" w:cstheme="minorHAnsi"/>
          <w:color w:val="000000"/>
          <w:shd w:val="clear" w:color="auto" w:fill="FFFFFF"/>
        </w:rPr>
        <w:fldChar w:fldCharType="separate"/>
      </w:r>
      <w:r w:rsidR="00C0265F">
        <w:rPr>
          <w:rStyle w:val="normaltextrun"/>
          <w:rFonts w:asciiTheme="minorHAnsi" w:hAnsiTheme="minorHAnsi" w:cstheme="minorHAnsi"/>
          <w:color w:val="000000"/>
          <w:shd w:val="clear" w:color="auto" w:fill="FFFFFF"/>
        </w:rPr>
        <w:fldChar w:fldCharType="end"/>
      </w:r>
      <w:r w:rsidR="00B95665" w:rsidRPr="00DE1BD4">
        <w:rPr>
          <w:rStyle w:val="normaltextrun"/>
          <w:rFonts w:asciiTheme="minorHAnsi" w:hAnsiTheme="minorHAnsi" w:cstheme="minorHAnsi"/>
          <w:color w:val="000000"/>
          <w:shd w:val="clear" w:color="auto" w:fill="FFFFFF"/>
        </w:rPr>
        <w:t xml:space="preserve">shows the </w:t>
      </w:r>
      <w:r w:rsidR="00C9424D" w:rsidRPr="00DE1BD4">
        <w:rPr>
          <w:rStyle w:val="normaltextrun"/>
          <w:rFonts w:asciiTheme="minorHAnsi" w:hAnsiTheme="minorHAnsi" w:cstheme="minorHAnsi"/>
          <w:color w:val="000000"/>
          <w:shd w:val="clear" w:color="auto" w:fill="FFFFFF"/>
        </w:rPr>
        <w:t xml:space="preserve">route of the </w:t>
      </w:r>
      <w:r w:rsidR="00401DAD">
        <w:rPr>
          <w:rStyle w:val="normaltextrun"/>
          <w:rFonts w:asciiTheme="minorHAnsi" w:hAnsiTheme="minorHAnsi" w:cstheme="minorHAnsi"/>
          <w:color w:val="000000"/>
          <w:shd w:val="clear" w:color="auto" w:fill="FFFFFF"/>
        </w:rPr>
        <w:t>ACE</w:t>
      </w:r>
      <w:r w:rsidR="00B81A43" w:rsidRPr="00DE1BD4">
        <w:rPr>
          <w:rStyle w:val="normaltextrun"/>
          <w:rFonts w:asciiTheme="minorHAnsi" w:hAnsiTheme="minorHAnsi" w:cstheme="minorHAnsi"/>
          <w:color w:val="000000"/>
          <w:shd w:val="clear" w:color="auto" w:fill="FFFFFF"/>
        </w:rPr>
        <w:t xml:space="preserve"> cable </w:t>
      </w:r>
      <w:r w:rsidR="00C9424D" w:rsidRPr="00DE1BD4">
        <w:rPr>
          <w:rStyle w:val="normaltextrun"/>
          <w:rFonts w:asciiTheme="minorHAnsi" w:hAnsiTheme="minorHAnsi" w:cstheme="minorHAnsi"/>
          <w:color w:val="000000"/>
          <w:shd w:val="clear" w:color="auto" w:fill="FFFFFF"/>
        </w:rPr>
        <w:t xml:space="preserve">with </w:t>
      </w:r>
      <w:r w:rsidR="00B81A43" w:rsidRPr="00DE1BD4">
        <w:rPr>
          <w:rStyle w:val="normaltextrun"/>
          <w:rFonts w:asciiTheme="minorHAnsi" w:hAnsiTheme="minorHAnsi" w:cstheme="minorHAnsi"/>
          <w:color w:val="000000"/>
          <w:shd w:val="clear" w:color="auto" w:fill="FFFFFF"/>
        </w:rPr>
        <w:t>connec</w:t>
      </w:r>
      <w:r w:rsidR="00BC1F98" w:rsidRPr="00DE1BD4">
        <w:rPr>
          <w:rStyle w:val="normaltextrun"/>
          <w:rFonts w:asciiTheme="minorHAnsi" w:hAnsiTheme="minorHAnsi" w:cstheme="minorHAnsi"/>
          <w:color w:val="000000"/>
          <w:shd w:val="clear" w:color="auto" w:fill="FFFFFF"/>
        </w:rPr>
        <w:t>t</w:t>
      </w:r>
      <w:r w:rsidR="00C9424D" w:rsidRPr="00DE1BD4">
        <w:rPr>
          <w:rStyle w:val="normaltextrun"/>
          <w:rFonts w:asciiTheme="minorHAnsi" w:hAnsiTheme="minorHAnsi" w:cstheme="minorHAnsi"/>
          <w:color w:val="000000"/>
          <w:shd w:val="clear" w:color="auto" w:fill="FFFFFF"/>
        </w:rPr>
        <w:t xml:space="preserve">ions </w:t>
      </w:r>
      <w:r w:rsidR="00DE1BD4" w:rsidRPr="00DE1BD4">
        <w:rPr>
          <w:rStyle w:val="normaltextrun"/>
          <w:rFonts w:asciiTheme="minorHAnsi" w:hAnsiTheme="minorHAnsi" w:cstheme="minorHAnsi"/>
          <w:color w:val="000000"/>
          <w:shd w:val="clear" w:color="auto" w:fill="FFFFFF"/>
        </w:rPr>
        <w:t xml:space="preserve">from </w:t>
      </w:r>
      <w:r w:rsidR="00401DAD">
        <w:rPr>
          <w:rStyle w:val="normaltextrun"/>
          <w:rFonts w:asciiTheme="minorHAnsi" w:hAnsiTheme="minorHAnsi" w:cstheme="minorHAnsi"/>
          <w:color w:val="000000"/>
          <w:shd w:val="clear" w:color="auto" w:fill="FFFFFF"/>
        </w:rPr>
        <w:t>Europe</w:t>
      </w:r>
      <w:r w:rsidR="00DE1BD4" w:rsidRPr="00DE1BD4">
        <w:rPr>
          <w:rStyle w:val="normaltextrun"/>
          <w:rFonts w:asciiTheme="minorHAnsi" w:hAnsiTheme="minorHAnsi" w:cstheme="minorHAnsi"/>
          <w:color w:val="000000"/>
          <w:shd w:val="clear" w:color="auto" w:fill="FFFFFF"/>
        </w:rPr>
        <w:t xml:space="preserve"> down the </w:t>
      </w:r>
      <w:r w:rsidR="00401DAD">
        <w:rPr>
          <w:rStyle w:val="normaltextrun"/>
          <w:rFonts w:asciiTheme="minorHAnsi" w:hAnsiTheme="minorHAnsi" w:cstheme="minorHAnsi"/>
          <w:color w:val="000000"/>
          <w:shd w:val="clear" w:color="auto" w:fill="FFFFFF"/>
        </w:rPr>
        <w:t>West</w:t>
      </w:r>
      <w:r w:rsidR="00DE1BD4" w:rsidRPr="00DE1BD4">
        <w:rPr>
          <w:rStyle w:val="normaltextrun"/>
          <w:rFonts w:asciiTheme="minorHAnsi" w:hAnsiTheme="minorHAnsi" w:cstheme="minorHAnsi"/>
          <w:color w:val="000000"/>
          <w:shd w:val="clear" w:color="auto" w:fill="FFFFFF"/>
        </w:rPr>
        <w:t xml:space="preserve"> African coast to</w:t>
      </w:r>
      <w:r w:rsidR="00BC1F98" w:rsidRPr="00DE1BD4">
        <w:rPr>
          <w:rStyle w:val="normaltextrun"/>
          <w:rFonts w:asciiTheme="minorHAnsi" w:hAnsiTheme="minorHAnsi" w:cstheme="minorHAnsi"/>
          <w:color w:val="000000"/>
          <w:shd w:val="clear" w:color="auto" w:fill="FFFFFF"/>
        </w:rPr>
        <w:t xml:space="preserve"> South African</w:t>
      </w:r>
      <w:r w:rsidR="00401DAD">
        <w:rPr>
          <w:rStyle w:val="normaltextrun"/>
          <w:rFonts w:asciiTheme="minorHAnsi" w:hAnsiTheme="minorHAnsi" w:cstheme="minorHAnsi"/>
          <w:color w:val="000000"/>
          <w:shd w:val="clear" w:color="auto" w:fill="FFFFFF"/>
        </w:rPr>
        <w:t xml:space="preserve">. </w:t>
      </w:r>
      <w:r w:rsidR="00DE1BD4" w:rsidRPr="00DE1BD4">
        <w:rPr>
          <w:rStyle w:val="normaltextrun"/>
          <w:rFonts w:asciiTheme="minorHAnsi" w:hAnsiTheme="minorHAnsi" w:cstheme="minorHAnsi"/>
          <w:color w:val="000000"/>
          <w:shd w:val="clear" w:color="auto" w:fill="FFFFFF"/>
        </w:rPr>
        <w:t xml:space="preserve">The </w:t>
      </w:r>
      <w:r w:rsidR="00401DAD">
        <w:rPr>
          <w:rStyle w:val="normaltextrun"/>
          <w:rFonts w:asciiTheme="minorHAnsi" w:hAnsiTheme="minorHAnsi" w:cstheme="minorHAnsi"/>
          <w:color w:val="000000"/>
          <w:shd w:val="clear" w:color="auto" w:fill="FFFFFF"/>
        </w:rPr>
        <w:t>ACE</w:t>
      </w:r>
      <w:r w:rsidR="00DE1BD4" w:rsidRPr="00DE1BD4">
        <w:rPr>
          <w:rStyle w:val="normaltextrun"/>
          <w:rFonts w:asciiTheme="minorHAnsi" w:hAnsiTheme="minorHAnsi" w:cstheme="minorHAnsi"/>
          <w:color w:val="000000"/>
          <w:shd w:val="clear" w:color="auto" w:fill="FFFFFF"/>
        </w:rPr>
        <w:t xml:space="preserve"> cable has </w:t>
      </w:r>
      <w:r w:rsidR="003D76B1">
        <w:rPr>
          <w:rStyle w:val="normaltextrun"/>
          <w:rFonts w:asciiTheme="minorHAnsi" w:hAnsiTheme="minorHAnsi" w:cstheme="minorHAnsi"/>
          <w:color w:val="000000"/>
          <w:shd w:val="clear" w:color="auto" w:fill="FFFFFF"/>
        </w:rPr>
        <w:t>a design capacity of 12.8</w:t>
      </w:r>
      <w:r w:rsidR="00DE1BD4" w:rsidRPr="00DE1BD4">
        <w:rPr>
          <w:rStyle w:val="normaltextrun"/>
          <w:rFonts w:asciiTheme="minorHAnsi" w:hAnsiTheme="minorHAnsi" w:cstheme="minorHAnsi"/>
          <w:color w:val="000000"/>
          <w:shd w:val="clear" w:color="auto" w:fill="FFFFFF"/>
        </w:rPr>
        <w:t xml:space="preserve">Tbps </w:t>
      </w:r>
      <w:r w:rsidR="00B55FBE">
        <w:rPr>
          <w:rStyle w:val="normaltextrun"/>
          <w:rFonts w:asciiTheme="minorHAnsi" w:hAnsiTheme="minorHAnsi" w:cstheme="minorHAnsi"/>
          <w:color w:val="000000"/>
          <w:shd w:val="clear" w:color="auto" w:fill="FFFFFF"/>
        </w:rPr>
        <w:t xml:space="preserve">and a lit </w:t>
      </w:r>
      <w:r w:rsidR="00DE1BD4" w:rsidRPr="00DE1BD4">
        <w:rPr>
          <w:rStyle w:val="normaltextrun"/>
          <w:rFonts w:asciiTheme="minorHAnsi" w:hAnsiTheme="minorHAnsi" w:cstheme="minorHAnsi"/>
          <w:color w:val="000000"/>
          <w:shd w:val="clear" w:color="auto" w:fill="FFFFFF"/>
        </w:rPr>
        <w:t xml:space="preserve">capacity </w:t>
      </w:r>
      <w:r w:rsidR="00B55FBE">
        <w:rPr>
          <w:rStyle w:val="normaltextrun"/>
          <w:rFonts w:asciiTheme="minorHAnsi" w:hAnsiTheme="minorHAnsi" w:cstheme="minorHAnsi"/>
          <w:color w:val="000000"/>
          <w:shd w:val="clear" w:color="auto" w:fill="FFFFFF"/>
        </w:rPr>
        <w:t>of 1.6Tbps in current use. The ACE cable</w:t>
      </w:r>
      <w:r w:rsidRPr="00DE1BD4">
        <w:rPr>
          <w:rStyle w:val="normaltextrun"/>
          <w:rFonts w:asciiTheme="minorHAnsi" w:hAnsiTheme="minorHAnsi" w:cstheme="minorHAnsi"/>
          <w:color w:val="000000"/>
          <w:shd w:val="clear" w:color="auto" w:fill="FFFFFF"/>
        </w:rPr>
        <w:t xml:space="preserve"> provides voice and data services and connectivity to the internet.</w:t>
      </w:r>
    </w:p>
    <w:p w14:paraId="1D6C850A" w14:textId="77777777" w:rsidR="00094419" w:rsidRPr="00DE1BD4" w:rsidRDefault="00094419" w:rsidP="00094419">
      <w:pPr>
        <w:pStyle w:val="Heading3"/>
      </w:pPr>
      <w:bookmarkStart w:id="306" w:name="_Toc181885805"/>
      <w:bookmarkEnd w:id="305"/>
      <w:r w:rsidRPr="00DE1BD4">
        <w:t>Cable Breaks</w:t>
      </w:r>
      <w:bookmarkEnd w:id="306"/>
    </w:p>
    <w:p w14:paraId="2CB7DD9B" w14:textId="0632620C" w:rsidR="00094419" w:rsidRPr="00DE1BD4" w:rsidRDefault="00E9778E" w:rsidP="00094419">
      <w:pPr>
        <w:rPr>
          <w:rFonts w:asciiTheme="minorHAnsi" w:hAnsiTheme="minorHAnsi" w:cstheme="minorHAnsi"/>
          <w:color w:val="000000"/>
          <w:bdr w:val="none" w:sz="0" w:space="0" w:color="auto" w:frame="1"/>
        </w:rPr>
      </w:pPr>
      <w:r w:rsidRPr="00DE1BD4">
        <w:rPr>
          <w:rStyle w:val="normaltextrun"/>
          <w:rFonts w:asciiTheme="minorHAnsi" w:hAnsiTheme="minorHAnsi" w:cstheme="minorHAnsi"/>
          <w:color w:val="000000"/>
          <w:bdr w:val="none" w:sz="0" w:space="0" w:color="auto" w:frame="1"/>
        </w:rPr>
        <w:t>Cable breaks are common on sub-sea cables</w:t>
      </w:r>
      <w:r w:rsidR="001B10F2" w:rsidRPr="00DE1BD4">
        <w:rPr>
          <w:rStyle w:val="normaltextrun"/>
          <w:rFonts w:asciiTheme="minorHAnsi" w:hAnsiTheme="minorHAnsi" w:cstheme="minorHAnsi"/>
          <w:color w:val="000000"/>
          <w:bdr w:val="none" w:sz="0" w:space="0" w:color="auto" w:frame="1"/>
        </w:rPr>
        <w:t xml:space="preserve"> </w:t>
      </w:r>
      <w:r w:rsidR="001B10F2" w:rsidRPr="005B6002">
        <w:rPr>
          <w:rStyle w:val="normaltextrun"/>
          <w:rFonts w:asciiTheme="minorHAnsi" w:hAnsiTheme="minorHAnsi" w:cstheme="minorHAnsi"/>
          <w:color w:val="000000"/>
          <w:bdr w:val="none" w:sz="0" w:space="0" w:color="auto" w:frame="1"/>
        </w:rPr>
        <w:t>and the recent break</w:t>
      </w:r>
      <w:r w:rsidR="00BC0F4D" w:rsidRPr="0045782B">
        <w:rPr>
          <w:rStyle w:val="FootnoteReference"/>
        </w:rPr>
        <w:footnoteReference w:id="86"/>
      </w:r>
      <w:r w:rsidR="001B10F2" w:rsidRPr="005B6002">
        <w:rPr>
          <w:rStyle w:val="normaltextrun"/>
          <w:rFonts w:asciiTheme="minorHAnsi" w:hAnsiTheme="minorHAnsi" w:cstheme="minorHAnsi"/>
          <w:color w:val="000000"/>
          <w:bdr w:val="none" w:sz="0" w:space="0" w:color="auto" w:frame="1"/>
        </w:rPr>
        <w:t xml:space="preserve"> of the </w:t>
      </w:r>
      <w:r w:rsidR="00892D38">
        <w:rPr>
          <w:rStyle w:val="normaltextrun"/>
          <w:rFonts w:asciiTheme="minorHAnsi" w:hAnsiTheme="minorHAnsi" w:cstheme="minorHAnsi"/>
          <w:color w:val="000000"/>
          <w:bdr w:val="none" w:sz="0" w:space="0" w:color="auto" w:frame="1"/>
        </w:rPr>
        <w:t>ACE</w:t>
      </w:r>
      <w:r w:rsidR="001B10F2" w:rsidRPr="00DE1BD4">
        <w:rPr>
          <w:rStyle w:val="normaltextrun"/>
          <w:rFonts w:asciiTheme="minorHAnsi" w:hAnsiTheme="minorHAnsi" w:cstheme="minorHAnsi"/>
          <w:color w:val="000000"/>
          <w:bdr w:val="none" w:sz="0" w:space="0" w:color="auto" w:frame="1"/>
        </w:rPr>
        <w:t xml:space="preserve"> cable in </w:t>
      </w:r>
      <w:r w:rsidR="005D54FF" w:rsidRPr="00DE1BD4">
        <w:rPr>
          <w:rStyle w:val="normaltextrun"/>
          <w:rFonts w:asciiTheme="minorHAnsi" w:hAnsiTheme="minorHAnsi" w:cstheme="minorHAnsi"/>
          <w:color w:val="000000"/>
          <w:bdr w:val="none" w:sz="0" w:space="0" w:color="auto" w:frame="1"/>
        </w:rPr>
        <w:t>Ma</w:t>
      </w:r>
      <w:r w:rsidR="00F049F2" w:rsidRPr="00DE1BD4">
        <w:rPr>
          <w:rStyle w:val="normaltextrun"/>
          <w:rFonts w:asciiTheme="minorHAnsi" w:hAnsiTheme="minorHAnsi" w:cstheme="minorHAnsi"/>
          <w:color w:val="000000"/>
          <w:bdr w:val="none" w:sz="0" w:space="0" w:color="auto" w:frame="1"/>
        </w:rPr>
        <w:t>y</w:t>
      </w:r>
      <w:r w:rsidR="005D54FF" w:rsidRPr="00DE1BD4">
        <w:rPr>
          <w:rStyle w:val="normaltextrun"/>
          <w:rFonts w:asciiTheme="minorHAnsi" w:hAnsiTheme="minorHAnsi" w:cstheme="minorHAnsi"/>
          <w:color w:val="000000"/>
          <w:bdr w:val="none" w:sz="0" w:space="0" w:color="auto" w:frame="1"/>
        </w:rPr>
        <w:t>,</w:t>
      </w:r>
      <w:r w:rsidR="00094419" w:rsidRPr="00DE1BD4">
        <w:rPr>
          <w:rStyle w:val="normaltextrun"/>
          <w:rFonts w:asciiTheme="minorHAnsi" w:hAnsiTheme="minorHAnsi" w:cstheme="minorHAnsi"/>
          <w:color w:val="000000"/>
          <w:bdr w:val="none" w:sz="0" w:space="0" w:color="auto" w:frame="1"/>
        </w:rPr>
        <w:t xml:space="preserve"> cut off </w:t>
      </w:r>
      <w:r w:rsidR="001B10F2" w:rsidRPr="00DE1BD4">
        <w:rPr>
          <w:rStyle w:val="normaltextrun"/>
          <w:rFonts w:asciiTheme="minorHAnsi" w:hAnsiTheme="minorHAnsi" w:cstheme="minorHAnsi"/>
          <w:color w:val="000000"/>
          <w:bdr w:val="none" w:sz="0" w:space="0" w:color="auto" w:frame="1"/>
        </w:rPr>
        <w:t xml:space="preserve">much of the </w:t>
      </w:r>
      <w:r w:rsidR="00094419" w:rsidRPr="00DE1BD4">
        <w:rPr>
          <w:rStyle w:val="normaltextrun"/>
          <w:rFonts w:asciiTheme="minorHAnsi" w:hAnsiTheme="minorHAnsi" w:cstheme="minorHAnsi"/>
          <w:color w:val="000000"/>
          <w:bdr w:val="none" w:sz="0" w:space="0" w:color="auto" w:frame="1"/>
        </w:rPr>
        <w:t xml:space="preserve">telecommunications services internationally, </w:t>
      </w:r>
      <w:r w:rsidR="001B10F2" w:rsidRPr="00DE1BD4">
        <w:rPr>
          <w:rStyle w:val="normaltextrun"/>
          <w:rFonts w:asciiTheme="minorHAnsi" w:hAnsiTheme="minorHAnsi" w:cstheme="minorHAnsi"/>
          <w:color w:val="000000"/>
          <w:bdr w:val="none" w:sz="0" w:space="0" w:color="auto" w:frame="1"/>
        </w:rPr>
        <w:t xml:space="preserve">along the </w:t>
      </w:r>
      <w:r w:rsidR="00372FBC">
        <w:rPr>
          <w:rStyle w:val="normaltextrun"/>
          <w:rFonts w:asciiTheme="minorHAnsi" w:hAnsiTheme="minorHAnsi" w:cstheme="minorHAnsi"/>
          <w:color w:val="000000"/>
          <w:bdr w:val="none" w:sz="0" w:space="0" w:color="auto" w:frame="1"/>
        </w:rPr>
        <w:t>west</w:t>
      </w:r>
      <w:r w:rsidR="001B10F2" w:rsidRPr="00DE1BD4">
        <w:rPr>
          <w:rStyle w:val="normaltextrun"/>
          <w:rFonts w:asciiTheme="minorHAnsi" w:hAnsiTheme="minorHAnsi" w:cstheme="minorHAnsi"/>
          <w:color w:val="000000"/>
          <w:bdr w:val="none" w:sz="0" w:space="0" w:color="auto" w:frame="1"/>
        </w:rPr>
        <w:t xml:space="preserve"> coast </w:t>
      </w:r>
      <w:r w:rsidR="00F17EDD" w:rsidRPr="00DE1BD4">
        <w:rPr>
          <w:rStyle w:val="normaltextrun"/>
          <w:rFonts w:asciiTheme="minorHAnsi" w:hAnsiTheme="minorHAnsi" w:cstheme="minorHAnsi"/>
          <w:color w:val="000000"/>
          <w:bdr w:val="none" w:sz="0" w:space="0" w:color="auto" w:frame="1"/>
        </w:rPr>
        <w:t>of Africa</w:t>
      </w:r>
      <w:r w:rsidR="00094419" w:rsidRPr="00DE1BD4">
        <w:rPr>
          <w:rStyle w:val="normaltextrun"/>
          <w:rFonts w:asciiTheme="minorHAnsi" w:hAnsiTheme="minorHAnsi" w:cstheme="minorHAnsi"/>
          <w:color w:val="000000"/>
          <w:bdr w:val="none" w:sz="0" w:space="0" w:color="auto" w:frame="1"/>
        </w:rPr>
        <w:t xml:space="preserve">. </w:t>
      </w:r>
      <w:r w:rsidR="005D54FF" w:rsidRPr="00DE1BD4">
        <w:rPr>
          <w:rStyle w:val="normaltextrun"/>
          <w:rFonts w:asciiTheme="minorHAnsi" w:hAnsiTheme="minorHAnsi" w:cstheme="minorHAnsi"/>
          <w:color w:val="000000"/>
          <w:bdr w:val="none" w:sz="0" w:space="0" w:color="auto" w:frame="1"/>
        </w:rPr>
        <w:t xml:space="preserve">In </w:t>
      </w:r>
      <w:r w:rsidR="008F34BA" w:rsidRPr="00DE1BD4">
        <w:rPr>
          <w:rStyle w:val="normaltextrun"/>
          <w:rFonts w:asciiTheme="minorHAnsi" w:hAnsiTheme="minorHAnsi" w:cstheme="minorHAnsi"/>
          <w:color w:val="000000"/>
          <w:bdr w:val="none" w:sz="0" w:space="0" w:color="auto" w:frame="1"/>
        </w:rPr>
        <w:t>the</w:t>
      </w:r>
      <w:r w:rsidR="005D54FF" w:rsidRPr="00DE1BD4">
        <w:rPr>
          <w:rStyle w:val="normaltextrun"/>
          <w:rFonts w:asciiTheme="minorHAnsi" w:hAnsiTheme="minorHAnsi" w:cstheme="minorHAnsi"/>
          <w:color w:val="000000"/>
          <w:bdr w:val="none" w:sz="0" w:space="0" w:color="auto" w:frame="1"/>
        </w:rPr>
        <w:t xml:space="preserve"> </w:t>
      </w:r>
      <w:r w:rsidR="008F34BA" w:rsidRPr="00DE1BD4">
        <w:rPr>
          <w:rStyle w:val="normaltextrun"/>
          <w:rFonts w:asciiTheme="minorHAnsi" w:hAnsiTheme="minorHAnsi" w:cstheme="minorHAnsi"/>
          <w:color w:val="000000"/>
          <w:bdr w:val="none" w:sz="0" w:space="0" w:color="auto" w:frame="1"/>
        </w:rPr>
        <w:t>event</w:t>
      </w:r>
      <w:r w:rsidR="005D54FF" w:rsidRPr="00DE1BD4">
        <w:rPr>
          <w:rStyle w:val="normaltextrun"/>
          <w:rFonts w:asciiTheme="minorHAnsi" w:hAnsiTheme="minorHAnsi" w:cstheme="minorHAnsi"/>
          <w:color w:val="000000"/>
          <w:bdr w:val="none" w:sz="0" w:space="0" w:color="auto" w:frame="1"/>
        </w:rPr>
        <w:t xml:space="preserve"> of such a disaster, alternative routes via alternative </w:t>
      </w:r>
      <w:r w:rsidR="008D64CD" w:rsidRPr="00DE1BD4">
        <w:rPr>
          <w:rStyle w:val="normaltextrun"/>
          <w:rFonts w:asciiTheme="minorHAnsi" w:hAnsiTheme="minorHAnsi" w:cstheme="minorHAnsi"/>
          <w:color w:val="000000"/>
          <w:bdr w:val="none" w:sz="0" w:space="0" w:color="auto" w:frame="1"/>
        </w:rPr>
        <w:t xml:space="preserve">services and solutions will be required. </w:t>
      </w:r>
      <w:r w:rsidR="0093233D">
        <w:rPr>
          <w:rStyle w:val="normaltextrun"/>
          <w:rFonts w:asciiTheme="minorHAnsi" w:hAnsiTheme="minorHAnsi" w:cstheme="minorHAnsi"/>
          <w:color w:val="000000"/>
          <w:bdr w:val="none" w:sz="0" w:space="0" w:color="auto" w:frame="1"/>
        </w:rPr>
        <w:t>C</w:t>
      </w:r>
      <w:r w:rsidR="008D64CD" w:rsidRPr="00DE1BD4">
        <w:rPr>
          <w:rStyle w:val="normaltextrun"/>
          <w:rFonts w:asciiTheme="minorHAnsi" w:hAnsiTheme="minorHAnsi" w:cstheme="minorHAnsi"/>
          <w:color w:val="000000"/>
          <w:bdr w:val="none" w:sz="0" w:space="0" w:color="auto" w:frame="1"/>
        </w:rPr>
        <w:t>onsideration of greater redundancy and resilience may be need</w:t>
      </w:r>
      <w:r w:rsidR="008F34BA" w:rsidRPr="00DE1BD4">
        <w:rPr>
          <w:rStyle w:val="normaltextrun"/>
          <w:rFonts w:asciiTheme="minorHAnsi" w:hAnsiTheme="minorHAnsi" w:cstheme="minorHAnsi"/>
          <w:color w:val="000000"/>
          <w:bdr w:val="none" w:sz="0" w:space="0" w:color="auto" w:frame="1"/>
        </w:rPr>
        <w:t>ed</w:t>
      </w:r>
      <w:r w:rsidR="008D64CD" w:rsidRPr="00DE1BD4">
        <w:rPr>
          <w:rStyle w:val="normaltextrun"/>
          <w:rFonts w:asciiTheme="minorHAnsi" w:hAnsiTheme="minorHAnsi" w:cstheme="minorHAnsi"/>
          <w:color w:val="000000"/>
          <w:bdr w:val="none" w:sz="0" w:space="0" w:color="auto" w:frame="1"/>
        </w:rPr>
        <w:t xml:space="preserve"> to </w:t>
      </w:r>
      <w:r w:rsidR="008F34BA" w:rsidRPr="00DE1BD4">
        <w:rPr>
          <w:rStyle w:val="normaltextrun"/>
          <w:rFonts w:asciiTheme="minorHAnsi" w:hAnsiTheme="minorHAnsi" w:cstheme="minorHAnsi"/>
          <w:color w:val="000000"/>
          <w:bdr w:val="none" w:sz="0" w:space="0" w:color="auto" w:frame="1"/>
        </w:rPr>
        <w:t>ensure continuous telecommunications services to the country.</w:t>
      </w:r>
      <w:r w:rsidR="0093233D">
        <w:rPr>
          <w:rStyle w:val="normaltextrun"/>
          <w:rFonts w:asciiTheme="minorHAnsi" w:hAnsiTheme="minorHAnsi" w:cstheme="minorHAnsi"/>
          <w:color w:val="000000"/>
          <w:bdr w:val="none" w:sz="0" w:space="0" w:color="auto" w:frame="1"/>
        </w:rPr>
        <w:t xml:space="preserve"> The Gambia is progressing with a second subsea cable</w:t>
      </w:r>
      <w:r w:rsidR="00006955" w:rsidRPr="0045782B">
        <w:rPr>
          <w:rStyle w:val="FootnoteReference"/>
        </w:rPr>
        <w:footnoteReference w:id="87"/>
      </w:r>
      <w:r w:rsidR="0093233D">
        <w:rPr>
          <w:rStyle w:val="normaltextrun"/>
          <w:rFonts w:asciiTheme="minorHAnsi" w:hAnsiTheme="minorHAnsi" w:cstheme="minorHAnsi"/>
          <w:color w:val="000000"/>
          <w:bdr w:val="none" w:sz="0" w:space="0" w:color="auto" w:frame="1"/>
        </w:rPr>
        <w:t xml:space="preserve"> to</w:t>
      </w:r>
      <w:r w:rsidR="00006955">
        <w:rPr>
          <w:rStyle w:val="normaltextrun"/>
          <w:rFonts w:asciiTheme="minorHAnsi" w:hAnsiTheme="minorHAnsi" w:cstheme="minorHAnsi"/>
          <w:color w:val="000000"/>
          <w:bdr w:val="none" w:sz="0" w:space="0" w:color="auto" w:frame="1"/>
        </w:rPr>
        <w:t xml:space="preserve"> </w:t>
      </w:r>
      <w:r w:rsidR="00BC0F4D">
        <w:rPr>
          <w:rStyle w:val="normaltextrun"/>
          <w:rFonts w:asciiTheme="minorHAnsi" w:hAnsiTheme="minorHAnsi" w:cstheme="minorHAnsi"/>
          <w:color w:val="000000"/>
          <w:bdr w:val="none" w:sz="0" w:space="0" w:color="auto" w:frame="1"/>
        </w:rPr>
        <w:t>address</w:t>
      </w:r>
      <w:r w:rsidR="0093233D">
        <w:rPr>
          <w:rStyle w:val="normaltextrun"/>
          <w:rFonts w:asciiTheme="minorHAnsi" w:hAnsiTheme="minorHAnsi" w:cstheme="minorHAnsi"/>
          <w:color w:val="000000"/>
          <w:bdr w:val="none" w:sz="0" w:space="0" w:color="auto" w:frame="1"/>
        </w:rPr>
        <w:t xml:space="preserve"> the lack of resilience </w:t>
      </w:r>
      <w:r w:rsidR="008316AD">
        <w:rPr>
          <w:rStyle w:val="normaltextrun"/>
          <w:rFonts w:asciiTheme="minorHAnsi" w:hAnsiTheme="minorHAnsi" w:cstheme="minorHAnsi"/>
          <w:color w:val="000000"/>
          <w:bdr w:val="none" w:sz="0" w:space="0" w:color="auto" w:frame="1"/>
        </w:rPr>
        <w:t>in this area</w:t>
      </w:r>
      <w:r w:rsidR="00BA7C3D">
        <w:rPr>
          <w:rStyle w:val="normaltextrun"/>
          <w:rFonts w:asciiTheme="minorHAnsi" w:hAnsiTheme="minorHAnsi" w:cstheme="minorHAnsi"/>
          <w:color w:val="000000"/>
          <w:bdr w:val="none" w:sz="0" w:space="0" w:color="auto" w:frame="1"/>
        </w:rPr>
        <w:t>.</w:t>
      </w:r>
    </w:p>
    <w:p w14:paraId="4D86AA1D" w14:textId="1981400C" w:rsidR="00581D87" w:rsidRPr="00DE1BD4" w:rsidRDefault="00581D87" w:rsidP="00581D87">
      <w:pPr>
        <w:pStyle w:val="Heading2"/>
      </w:pPr>
      <w:bookmarkStart w:id="307" w:name="_Toc181885806"/>
      <w:r w:rsidRPr="00DE1BD4">
        <w:t xml:space="preserve">International </w:t>
      </w:r>
      <w:r w:rsidRPr="00600B10">
        <w:t>Connectivity - Satellite</w:t>
      </w:r>
      <w:r w:rsidR="008F34BA" w:rsidRPr="00600B10">
        <w:t>s</w:t>
      </w:r>
      <w:bookmarkEnd w:id="307"/>
    </w:p>
    <w:p w14:paraId="5E8F4209" w14:textId="7A45CBE7" w:rsidR="007A5EF3" w:rsidRPr="00DE1BD4" w:rsidRDefault="001E2C73" w:rsidP="007A5EF3">
      <w:pPr>
        <w:rPr>
          <w:rStyle w:val="normaltextrun"/>
          <w:rFonts w:asciiTheme="minorHAnsi" w:hAnsiTheme="minorHAnsi" w:cstheme="minorHAnsi"/>
        </w:rPr>
      </w:pPr>
      <w:r w:rsidRPr="00DE1BD4">
        <w:rPr>
          <w:rStyle w:val="normaltextrun"/>
          <w:rFonts w:asciiTheme="minorHAnsi" w:hAnsiTheme="minorHAnsi" w:cstheme="minorHAnsi"/>
        </w:rPr>
        <w:t>Satellites have</w:t>
      </w:r>
      <w:r w:rsidR="007A5EF3" w:rsidRPr="00DE1BD4">
        <w:rPr>
          <w:rStyle w:val="normaltextrun"/>
          <w:rFonts w:asciiTheme="minorHAnsi" w:hAnsiTheme="minorHAnsi" w:cstheme="minorHAnsi"/>
        </w:rPr>
        <w:t xml:space="preserve"> played an important role in telecommunications in </w:t>
      </w:r>
      <w:r w:rsidR="00991536" w:rsidRPr="00DE1BD4">
        <w:rPr>
          <w:rStyle w:val="normaltextrun"/>
          <w:rFonts w:asciiTheme="minorHAnsi" w:hAnsiTheme="minorHAnsi" w:cstheme="minorHAnsi"/>
        </w:rPr>
        <w:t>Africa</w:t>
      </w:r>
      <w:r w:rsidR="00D4106C" w:rsidRPr="00DE1BD4">
        <w:rPr>
          <w:rStyle w:val="normaltextrun"/>
          <w:rFonts w:asciiTheme="minorHAnsi" w:hAnsiTheme="minorHAnsi" w:cstheme="minorHAnsi"/>
        </w:rPr>
        <w:t xml:space="preserve"> and </w:t>
      </w:r>
      <w:r w:rsidR="00EC601E" w:rsidRPr="00DE1BD4">
        <w:rPr>
          <w:rStyle w:val="normaltextrun"/>
          <w:rFonts w:asciiTheme="minorHAnsi" w:hAnsiTheme="minorHAnsi" w:cstheme="minorHAnsi"/>
        </w:rPr>
        <w:t>were</w:t>
      </w:r>
      <w:r w:rsidR="00D4106C" w:rsidRPr="00DE1BD4">
        <w:rPr>
          <w:rStyle w:val="normaltextrun"/>
          <w:rFonts w:asciiTheme="minorHAnsi" w:hAnsiTheme="minorHAnsi" w:cstheme="minorHAnsi"/>
        </w:rPr>
        <w:t xml:space="preserve"> </w:t>
      </w:r>
      <w:r w:rsidR="007A5EF3" w:rsidRPr="00DE1BD4">
        <w:rPr>
          <w:rStyle w:val="normaltextrun"/>
          <w:rFonts w:asciiTheme="minorHAnsi" w:hAnsiTheme="minorHAnsi" w:cstheme="minorHAnsi"/>
        </w:rPr>
        <w:t xml:space="preserve">the only solution for telecommunications services into and out of </w:t>
      </w:r>
      <w:r w:rsidR="00394F76">
        <w:rPr>
          <w:rStyle w:val="normaltextrun"/>
          <w:rFonts w:asciiTheme="minorHAnsi" w:hAnsiTheme="minorHAnsi" w:cstheme="minorHAnsi"/>
        </w:rPr>
        <w:t>many</w:t>
      </w:r>
      <w:r w:rsidR="00D5162B" w:rsidRPr="00DE1BD4">
        <w:rPr>
          <w:rStyle w:val="normaltextrun"/>
          <w:rFonts w:asciiTheme="minorHAnsi" w:hAnsiTheme="minorHAnsi" w:cstheme="minorHAnsi"/>
        </w:rPr>
        <w:t xml:space="preserve"> countr</w:t>
      </w:r>
      <w:r w:rsidR="00394F76">
        <w:rPr>
          <w:rStyle w:val="normaltextrun"/>
          <w:rFonts w:asciiTheme="minorHAnsi" w:hAnsiTheme="minorHAnsi" w:cstheme="minorHAnsi"/>
        </w:rPr>
        <w:t>ies</w:t>
      </w:r>
      <w:r w:rsidR="00D4106C" w:rsidRPr="00DE1BD4">
        <w:rPr>
          <w:rStyle w:val="normaltextrun"/>
          <w:rFonts w:asciiTheme="minorHAnsi" w:hAnsiTheme="minorHAnsi" w:cstheme="minorHAnsi"/>
        </w:rPr>
        <w:t xml:space="preserve"> before </w:t>
      </w:r>
      <w:r w:rsidR="004F4187" w:rsidRPr="00DE1BD4">
        <w:rPr>
          <w:rStyle w:val="normaltextrun"/>
          <w:rFonts w:asciiTheme="minorHAnsi" w:hAnsiTheme="minorHAnsi" w:cstheme="minorHAnsi"/>
        </w:rPr>
        <w:t>connectivity via</w:t>
      </w:r>
      <w:r w:rsidR="00D4106C" w:rsidRPr="00DE1BD4">
        <w:rPr>
          <w:rStyle w:val="normaltextrun"/>
          <w:rFonts w:asciiTheme="minorHAnsi" w:hAnsiTheme="minorHAnsi" w:cstheme="minorHAnsi"/>
        </w:rPr>
        <w:t xml:space="preserve"> subsea cables</w:t>
      </w:r>
      <w:r w:rsidR="004F4187" w:rsidRPr="00DE1BD4">
        <w:rPr>
          <w:rStyle w:val="normaltextrun"/>
          <w:rFonts w:asciiTheme="minorHAnsi" w:hAnsiTheme="minorHAnsi" w:cstheme="minorHAnsi"/>
        </w:rPr>
        <w:t>.</w:t>
      </w:r>
    </w:p>
    <w:p w14:paraId="484F863A" w14:textId="59704E55" w:rsidR="00B617E5" w:rsidRPr="00DE1BD4" w:rsidRDefault="00B617E5" w:rsidP="00B617E5">
      <w:pPr>
        <w:rPr>
          <w:rFonts w:asciiTheme="minorHAnsi" w:eastAsiaTheme="minorHAnsi" w:hAnsiTheme="minorHAnsi" w:cstheme="minorBidi"/>
          <w:lang w:eastAsia="en-US"/>
        </w:rPr>
      </w:pPr>
      <w:r w:rsidRPr="00DE1BD4">
        <w:t>Different private companies such as Intelsat, SES and Eutelsat offer data transmission services and Internet access through various satellite technologies. These service offer</w:t>
      </w:r>
      <w:r w:rsidR="00445630" w:rsidRPr="00DE1BD4">
        <w:t>ing</w:t>
      </w:r>
      <w:r w:rsidRPr="00DE1BD4">
        <w:t>s vary in different speed ranges according to each provider, which mainly use frequency bands C, Ku and Ka, and have coverage up to the entire national territory.</w:t>
      </w:r>
    </w:p>
    <w:p w14:paraId="2DDD33AA" w14:textId="77777777" w:rsidR="00B617E5" w:rsidRPr="00DE1BD4" w:rsidRDefault="00B617E5" w:rsidP="00B617E5">
      <w:pPr>
        <w:rPr>
          <w:rFonts w:asciiTheme="minorHAnsi" w:hAnsiTheme="minorHAnsi" w:cstheme="minorHAnsi"/>
        </w:rPr>
      </w:pPr>
      <w:r w:rsidRPr="00DE1BD4">
        <w:rPr>
          <w:rStyle w:val="normaltextrun"/>
          <w:rFonts w:asciiTheme="minorHAnsi" w:hAnsiTheme="minorHAnsi" w:cstheme="minorHAnsi"/>
        </w:rPr>
        <w:t>Services provided from these satellites can include:</w:t>
      </w:r>
      <w:r w:rsidRPr="00DE1BD4">
        <w:rPr>
          <w:rStyle w:val="eop"/>
          <w:rFonts w:asciiTheme="minorHAnsi" w:hAnsiTheme="minorHAnsi" w:cstheme="minorHAnsi"/>
        </w:rPr>
        <w:t> </w:t>
      </w:r>
    </w:p>
    <w:p w14:paraId="1A13DD5F" w14:textId="77777777" w:rsidR="00B617E5" w:rsidRPr="00DE1BD4" w:rsidRDefault="00B617E5" w:rsidP="00731ECE">
      <w:pPr>
        <w:pStyle w:val="ListParagraph"/>
        <w:numPr>
          <w:ilvl w:val="0"/>
          <w:numId w:val="20"/>
        </w:numPr>
        <w:rPr>
          <w:rFonts w:asciiTheme="minorHAnsi" w:hAnsiTheme="minorHAnsi" w:cstheme="minorHAnsi"/>
        </w:rPr>
      </w:pPr>
      <w:r w:rsidRPr="00DE1BD4">
        <w:rPr>
          <w:rStyle w:val="normaltextrun"/>
          <w:rFonts w:asciiTheme="minorHAnsi" w:hAnsiTheme="minorHAnsi" w:cstheme="minorHAnsi"/>
        </w:rPr>
        <w:t>Very Small Aperture Terminal (VSAT) data and internet services</w:t>
      </w:r>
      <w:r w:rsidRPr="00DE1BD4">
        <w:rPr>
          <w:rStyle w:val="eop"/>
          <w:rFonts w:asciiTheme="minorHAnsi" w:hAnsiTheme="minorHAnsi" w:cstheme="minorHAnsi"/>
        </w:rPr>
        <w:t> </w:t>
      </w:r>
    </w:p>
    <w:p w14:paraId="07204C79" w14:textId="77777777" w:rsidR="00B617E5" w:rsidRPr="00DE1BD4" w:rsidRDefault="00B617E5" w:rsidP="00731ECE">
      <w:pPr>
        <w:pStyle w:val="ListParagraph"/>
        <w:numPr>
          <w:ilvl w:val="0"/>
          <w:numId w:val="20"/>
        </w:numPr>
        <w:rPr>
          <w:rFonts w:asciiTheme="minorHAnsi" w:hAnsiTheme="minorHAnsi" w:cstheme="minorHAnsi"/>
        </w:rPr>
      </w:pPr>
      <w:r w:rsidRPr="00DE1BD4">
        <w:rPr>
          <w:rStyle w:val="normaltextrun"/>
          <w:rFonts w:asciiTheme="minorHAnsi" w:hAnsiTheme="minorHAnsi" w:cstheme="minorHAnsi"/>
        </w:rPr>
        <w:t>Voice and data backhaul</w:t>
      </w:r>
      <w:r w:rsidRPr="00DE1BD4">
        <w:rPr>
          <w:rStyle w:val="eop"/>
          <w:rFonts w:asciiTheme="minorHAnsi" w:hAnsiTheme="minorHAnsi" w:cstheme="minorHAnsi"/>
        </w:rPr>
        <w:t> </w:t>
      </w:r>
    </w:p>
    <w:p w14:paraId="7D2271F4" w14:textId="77777777" w:rsidR="00B617E5" w:rsidRPr="00DE1BD4" w:rsidRDefault="00B617E5" w:rsidP="00731ECE">
      <w:pPr>
        <w:pStyle w:val="ListParagraph"/>
        <w:numPr>
          <w:ilvl w:val="0"/>
          <w:numId w:val="20"/>
        </w:numPr>
        <w:rPr>
          <w:rFonts w:asciiTheme="minorHAnsi" w:hAnsiTheme="minorHAnsi" w:cstheme="minorHAnsi"/>
        </w:rPr>
      </w:pPr>
      <w:r w:rsidRPr="00DE1BD4">
        <w:rPr>
          <w:rStyle w:val="normaltextrun"/>
          <w:rFonts w:asciiTheme="minorHAnsi" w:hAnsiTheme="minorHAnsi" w:cstheme="minorHAnsi"/>
        </w:rPr>
        <w:t>International trunking</w:t>
      </w:r>
      <w:r w:rsidRPr="00DE1BD4">
        <w:rPr>
          <w:rStyle w:val="eop"/>
          <w:rFonts w:asciiTheme="minorHAnsi" w:hAnsiTheme="minorHAnsi" w:cstheme="minorHAnsi"/>
        </w:rPr>
        <w:t> </w:t>
      </w:r>
    </w:p>
    <w:p w14:paraId="2D7AA018" w14:textId="77777777" w:rsidR="00B617E5" w:rsidRPr="00DE1BD4" w:rsidRDefault="00B617E5" w:rsidP="00731ECE">
      <w:pPr>
        <w:pStyle w:val="ListParagraph"/>
        <w:numPr>
          <w:ilvl w:val="0"/>
          <w:numId w:val="20"/>
        </w:numPr>
        <w:rPr>
          <w:rFonts w:asciiTheme="minorHAnsi" w:hAnsiTheme="minorHAnsi" w:cstheme="minorHAnsi"/>
        </w:rPr>
      </w:pPr>
      <w:r w:rsidRPr="00DE1BD4">
        <w:rPr>
          <w:rStyle w:val="normaltextrun"/>
          <w:rFonts w:asciiTheme="minorHAnsi" w:hAnsiTheme="minorHAnsi" w:cstheme="minorHAnsi"/>
        </w:rPr>
        <w:t>Broadband Global Area Network (BGAN) services</w:t>
      </w:r>
      <w:r w:rsidRPr="00DE1BD4">
        <w:rPr>
          <w:rStyle w:val="eop"/>
          <w:rFonts w:asciiTheme="minorHAnsi" w:hAnsiTheme="minorHAnsi" w:cstheme="minorHAnsi"/>
        </w:rPr>
        <w:t> </w:t>
      </w:r>
    </w:p>
    <w:p w14:paraId="545C7556" w14:textId="63745CED" w:rsidR="00B617E5" w:rsidRPr="00DE1BD4" w:rsidRDefault="00B617E5" w:rsidP="00731ECE">
      <w:pPr>
        <w:pStyle w:val="ListParagraph"/>
        <w:numPr>
          <w:ilvl w:val="0"/>
          <w:numId w:val="20"/>
        </w:numPr>
        <w:rPr>
          <w:rFonts w:asciiTheme="minorHAnsi" w:hAnsiTheme="minorHAnsi" w:cstheme="minorHAnsi"/>
        </w:rPr>
      </w:pPr>
      <w:r w:rsidRPr="00DE1BD4">
        <w:rPr>
          <w:rStyle w:val="normaltextrun"/>
          <w:rFonts w:asciiTheme="minorHAnsi" w:hAnsiTheme="minorHAnsi" w:cstheme="minorHAnsi"/>
        </w:rPr>
        <w:t>Maritime and aviation safety</w:t>
      </w:r>
      <w:r w:rsidRPr="00DE1BD4">
        <w:rPr>
          <w:rStyle w:val="eop"/>
          <w:rFonts w:asciiTheme="minorHAnsi" w:hAnsiTheme="minorHAnsi" w:cstheme="minorHAnsi"/>
        </w:rPr>
        <w:t> </w:t>
      </w:r>
    </w:p>
    <w:p w14:paraId="7A0E3C0E" w14:textId="77777777" w:rsidR="00B617E5" w:rsidRPr="00DE1BD4" w:rsidRDefault="00B617E5" w:rsidP="00731ECE">
      <w:pPr>
        <w:pStyle w:val="ListParagraph"/>
        <w:numPr>
          <w:ilvl w:val="0"/>
          <w:numId w:val="20"/>
        </w:numPr>
        <w:rPr>
          <w:rFonts w:asciiTheme="minorHAnsi" w:hAnsiTheme="minorHAnsi" w:cstheme="minorHAnsi"/>
        </w:rPr>
      </w:pPr>
      <w:r w:rsidRPr="00DE1BD4">
        <w:rPr>
          <w:rStyle w:val="normaltextrun"/>
          <w:rFonts w:asciiTheme="minorHAnsi" w:hAnsiTheme="minorHAnsi" w:cstheme="minorHAnsi"/>
        </w:rPr>
        <w:t xml:space="preserve">Television (commercial and </w:t>
      </w:r>
      <w:proofErr w:type="spellStart"/>
      <w:r w:rsidRPr="00DE1BD4">
        <w:rPr>
          <w:rStyle w:val="normaltextrun"/>
          <w:rFonts w:asciiTheme="minorHAnsi" w:hAnsiTheme="minorHAnsi" w:cstheme="minorHAnsi"/>
        </w:rPr>
        <w:t>PayTV</w:t>
      </w:r>
      <w:proofErr w:type="spellEnd"/>
      <w:r w:rsidRPr="00DE1BD4">
        <w:rPr>
          <w:rStyle w:val="normaltextrun"/>
          <w:rFonts w:asciiTheme="minorHAnsi" w:hAnsiTheme="minorHAnsi" w:cstheme="minorHAnsi"/>
        </w:rPr>
        <w:t>) and radio broadcasting.</w:t>
      </w:r>
      <w:r w:rsidRPr="00DE1BD4">
        <w:rPr>
          <w:rStyle w:val="eop"/>
          <w:rFonts w:asciiTheme="minorHAnsi" w:hAnsiTheme="minorHAnsi" w:cstheme="minorHAnsi"/>
        </w:rPr>
        <w:t> </w:t>
      </w:r>
    </w:p>
    <w:p w14:paraId="116C4180" w14:textId="2A559161" w:rsidR="00944CF8" w:rsidRPr="00DE1BD4" w:rsidRDefault="00B617E5" w:rsidP="009570F7">
      <w:pPr>
        <w:rPr>
          <w:rStyle w:val="normaltextrun"/>
          <w:rFonts w:asciiTheme="minorHAnsi" w:hAnsiTheme="minorHAnsi" w:cstheme="minorHAnsi"/>
        </w:rPr>
      </w:pPr>
      <w:r w:rsidRPr="00DE1BD4">
        <w:rPr>
          <w:rStyle w:val="normaltextrun"/>
          <w:rFonts w:asciiTheme="minorHAnsi" w:hAnsiTheme="minorHAnsi" w:cstheme="minorHAnsi"/>
        </w:rPr>
        <w:t>Across Africa, many countries have their own satellite systems that provide both telecommunications and broadcast services as well as earth observation data. Some of these countries, such as Angola on Angosat1, may provide temporary bandwidth in the event of a disaster.</w:t>
      </w:r>
      <w:r w:rsidR="006D7B83" w:rsidRPr="00DE1BD4">
        <w:rPr>
          <w:rStyle w:val="normaltextrun"/>
          <w:rFonts w:asciiTheme="minorHAnsi" w:hAnsiTheme="minorHAnsi" w:cstheme="minorHAnsi"/>
        </w:rPr>
        <w:t xml:space="preserve"> </w:t>
      </w:r>
      <w:r w:rsidR="00D51652" w:rsidRPr="00DE1BD4">
        <w:rPr>
          <w:rStyle w:val="normaltextrun"/>
          <w:rFonts w:asciiTheme="minorHAnsi" w:hAnsiTheme="minorHAnsi" w:cstheme="minorHAnsi"/>
        </w:rPr>
        <w:fldChar w:fldCharType="begin"/>
      </w:r>
      <w:r w:rsidR="00D51652" w:rsidRPr="00DE1BD4">
        <w:rPr>
          <w:rStyle w:val="normaltextrun"/>
          <w:rFonts w:asciiTheme="minorHAnsi" w:hAnsiTheme="minorHAnsi" w:cstheme="minorHAnsi"/>
        </w:rPr>
        <w:instrText xml:space="preserve"> REF _Ref167971445 \h </w:instrText>
      </w:r>
      <w:r w:rsidR="00D51652" w:rsidRPr="00DE1BD4">
        <w:rPr>
          <w:rStyle w:val="normaltextrun"/>
          <w:rFonts w:asciiTheme="minorHAnsi" w:hAnsiTheme="minorHAnsi" w:cstheme="minorHAnsi"/>
        </w:rPr>
      </w:r>
      <w:r w:rsidR="00D51652" w:rsidRPr="00DE1BD4">
        <w:rPr>
          <w:rStyle w:val="normaltextrun"/>
          <w:rFonts w:asciiTheme="minorHAnsi" w:hAnsiTheme="minorHAnsi" w:cstheme="minorHAnsi"/>
        </w:rPr>
        <w:fldChar w:fldCharType="separate"/>
      </w:r>
      <w:r w:rsidR="00B64278" w:rsidRPr="00DE1BD4">
        <w:t xml:space="preserve">Figure </w:t>
      </w:r>
      <w:r w:rsidR="00B64278">
        <w:rPr>
          <w:noProof/>
        </w:rPr>
        <w:t>20</w:t>
      </w:r>
      <w:r w:rsidR="00D51652" w:rsidRPr="00DE1BD4">
        <w:rPr>
          <w:rStyle w:val="normaltextrun"/>
          <w:rFonts w:asciiTheme="minorHAnsi" w:hAnsiTheme="minorHAnsi" w:cstheme="minorHAnsi"/>
        </w:rPr>
        <w:fldChar w:fldCharType="end"/>
      </w:r>
      <w:r w:rsidR="00D51652" w:rsidRPr="00DE1BD4">
        <w:rPr>
          <w:rStyle w:val="normaltextrun"/>
          <w:rFonts w:asciiTheme="minorHAnsi" w:hAnsiTheme="minorHAnsi" w:cstheme="minorHAnsi"/>
        </w:rPr>
        <w:t xml:space="preserve"> below shows the satellites operated by African countries. </w:t>
      </w:r>
    </w:p>
    <w:p w14:paraId="578D4427" w14:textId="07D918A7" w:rsidR="00E6093F" w:rsidRPr="00DE1BD4" w:rsidRDefault="004877AB" w:rsidP="004877AB">
      <w:pPr>
        <w:pStyle w:val="Caption"/>
        <w:jc w:val="center"/>
        <w:rPr>
          <w:rStyle w:val="normaltextrun"/>
          <w:rFonts w:asciiTheme="minorHAnsi" w:hAnsiTheme="minorHAnsi" w:cstheme="minorHAnsi"/>
        </w:rPr>
      </w:pPr>
      <w:bookmarkStart w:id="308" w:name="_Ref167971445"/>
      <w:bookmarkStart w:id="309" w:name="_Toc181885879"/>
      <w:r w:rsidRPr="00DE1BD4">
        <w:t xml:space="preserve">Figure </w:t>
      </w:r>
      <w:r w:rsidRPr="00DE1BD4">
        <w:fldChar w:fldCharType="begin"/>
      </w:r>
      <w:r w:rsidRPr="00DE1BD4">
        <w:instrText xml:space="preserve"> SEQ Figure \* ARABIC </w:instrText>
      </w:r>
      <w:r w:rsidRPr="00DE1BD4">
        <w:fldChar w:fldCharType="separate"/>
      </w:r>
      <w:r w:rsidR="003F405A">
        <w:rPr>
          <w:noProof/>
        </w:rPr>
        <w:t>17</w:t>
      </w:r>
      <w:r w:rsidRPr="00DE1BD4">
        <w:fldChar w:fldCharType="end"/>
      </w:r>
      <w:bookmarkEnd w:id="308"/>
      <w:r w:rsidR="00D51652" w:rsidRPr="00DE1BD4">
        <w:t xml:space="preserve"> -</w:t>
      </w:r>
      <w:r w:rsidRPr="00DE1BD4">
        <w:t xml:space="preserve"> African Satellites by Country</w:t>
      </w:r>
      <w:r w:rsidRPr="0045782B">
        <w:rPr>
          <w:rStyle w:val="FootnoteReference"/>
        </w:rPr>
        <w:footnoteReference w:id="88"/>
      </w:r>
      <w:bookmarkEnd w:id="309"/>
    </w:p>
    <w:p w14:paraId="7F534A83" w14:textId="3EDFD873" w:rsidR="00E6093F" w:rsidRPr="00DE1BD4" w:rsidRDefault="00E6093F" w:rsidP="00E6093F">
      <w:pPr>
        <w:jc w:val="center"/>
        <w:rPr>
          <w:rFonts w:asciiTheme="minorHAnsi" w:eastAsia="Times New Roman" w:hAnsiTheme="minorHAnsi" w:cstheme="minorHAnsi"/>
          <w:lang w:eastAsia="en-AU"/>
        </w:rPr>
      </w:pPr>
      <w:r w:rsidRPr="00DE1BD4">
        <w:rPr>
          <w:rFonts w:asciiTheme="minorHAnsi" w:eastAsia="Times New Roman" w:hAnsiTheme="minorHAnsi" w:cstheme="minorHAnsi"/>
          <w:noProof/>
          <w:lang w:eastAsia="en-AU"/>
        </w:rPr>
        <w:drawing>
          <wp:inline distT="0" distB="0" distL="0" distR="0" wp14:anchorId="790CDED6" wp14:editId="2034B70C">
            <wp:extent cx="5354431" cy="3534093"/>
            <wp:effectExtent l="0" t="0" r="0" b="9525"/>
            <wp:docPr id="476170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73362" cy="3546588"/>
                    </a:xfrm>
                    <a:prstGeom prst="rect">
                      <a:avLst/>
                    </a:prstGeom>
                    <a:noFill/>
                  </pic:spPr>
                </pic:pic>
              </a:graphicData>
            </a:graphic>
          </wp:inline>
        </w:drawing>
      </w:r>
    </w:p>
    <w:p w14:paraId="34BE0D11" w14:textId="5367116C" w:rsidR="00581D87" w:rsidRPr="00DE1BD4" w:rsidRDefault="00581D87" w:rsidP="00581D87">
      <w:pPr>
        <w:pStyle w:val="Heading3"/>
      </w:pPr>
      <w:bookmarkStart w:id="310" w:name="_Toc181885807"/>
      <w:r w:rsidRPr="00DE1BD4">
        <w:t>Low Earth Orbit (LEO) Satellite Providers</w:t>
      </w:r>
      <w:bookmarkEnd w:id="310"/>
    </w:p>
    <w:p w14:paraId="1BB6EA45" w14:textId="536A256A" w:rsidR="007A5EF3" w:rsidRPr="00DE1BD4" w:rsidRDefault="00581D87" w:rsidP="007A5EF3">
      <w:r w:rsidRPr="00DE1BD4">
        <w:t>New LEO constellations are seen as a disruptive technology that may provide viable options to previously unconnected communities. They offer low latency and relatively high through</w:t>
      </w:r>
      <w:r w:rsidR="006C6F4F" w:rsidRPr="00DE1BD4">
        <w:t>o</w:t>
      </w:r>
      <w:r w:rsidRPr="00DE1BD4">
        <w:t>ut in comparison with GEO satellites, and small, easy-to-setup user terminals.</w:t>
      </w:r>
      <w:r w:rsidR="00B113D9" w:rsidRPr="00DE1BD4">
        <w:t xml:space="preserve"> </w:t>
      </w:r>
    </w:p>
    <w:p w14:paraId="2597A2BF" w14:textId="626DA9AA" w:rsidR="00581D87" w:rsidRPr="00DE1BD4" w:rsidRDefault="007A5EF3" w:rsidP="007A5EF3">
      <w:r w:rsidRPr="00DE1BD4">
        <w:t>Some</w:t>
      </w:r>
      <w:r w:rsidR="00581D87" w:rsidRPr="00DE1BD4">
        <w:t xml:space="preserve"> of the LEO services are listed here for reference. </w:t>
      </w:r>
      <w:r w:rsidR="00B113D9" w:rsidRPr="00DE1BD4">
        <w:rPr>
          <w:lang w:eastAsia="en-US"/>
        </w:rPr>
        <w:t xml:space="preserve">LEO satellite systems can be deployed very quickly post disaster </w:t>
      </w:r>
      <w:r w:rsidR="00B113D9" w:rsidRPr="00DE1BD4">
        <w:t>which means they</w:t>
      </w:r>
      <w:r w:rsidR="00581D87" w:rsidRPr="00DE1BD4">
        <w:t xml:space="preserve"> have a role to play in emergency communications</w:t>
      </w:r>
      <w:r w:rsidR="00DD2C2D" w:rsidRPr="00DE1BD4">
        <w:t>.</w:t>
      </w:r>
      <w:r w:rsidR="00B113D9" w:rsidRPr="00DE1BD4">
        <w:t xml:space="preserve"> </w:t>
      </w:r>
    </w:p>
    <w:p w14:paraId="658F0053" w14:textId="0E677B50" w:rsidR="0042134F" w:rsidRPr="0042134F" w:rsidRDefault="0042134F" w:rsidP="00721A8B">
      <w:pPr>
        <w:pStyle w:val="ListParagraph"/>
        <w:numPr>
          <w:ilvl w:val="0"/>
          <w:numId w:val="61"/>
        </w:numPr>
        <w:tabs>
          <w:tab w:val="num" w:pos="1440"/>
        </w:tabs>
        <w:rPr>
          <w:rFonts w:asciiTheme="minorHAnsi" w:hAnsiTheme="minorHAnsi" w:cstheme="minorHAnsi"/>
          <w:color w:val="333333"/>
          <w:shd w:val="clear" w:color="auto" w:fill="FFFFFF"/>
        </w:rPr>
      </w:pPr>
      <w:r w:rsidRPr="0042134F">
        <w:rPr>
          <w:b/>
          <w:bCs/>
        </w:rPr>
        <w:t>Starlink</w:t>
      </w:r>
      <w:r w:rsidRPr="00DE1BD4">
        <w:t xml:space="preserve"> is a LEO constellation primarily designed for broadband data services. With terminal costs as low as USD500, it is both low cost and offers a “plug and play” set up. If there is power and a clear view of the sky, the Starlink system can be operational in less than 10 minutes.</w:t>
      </w:r>
      <w:r>
        <w:t xml:space="preserve"> </w:t>
      </w:r>
      <w:r w:rsidRPr="0042134F">
        <w:rPr>
          <w:rFonts w:asciiTheme="minorHAnsi" w:hAnsiTheme="minorHAnsi" w:cstheme="minorHAnsi"/>
        </w:rPr>
        <w:t>Whilst Starlink is not licensed to operate in The Gambia, it does provide a rapid set up disaster capability</w:t>
      </w:r>
      <w:r w:rsidRPr="0045782B">
        <w:rPr>
          <w:rStyle w:val="FootnoteReference"/>
        </w:rPr>
        <w:footnoteReference w:id="89"/>
      </w:r>
      <w:r w:rsidRPr="0042134F">
        <w:rPr>
          <w:rFonts w:asciiTheme="minorHAnsi" w:hAnsiTheme="minorHAnsi" w:cstheme="minorHAnsi"/>
        </w:rPr>
        <w:t xml:space="preserve"> that has been demonstrated with disasters in other parts of the world such as Tonga</w:t>
      </w:r>
      <w:r w:rsidRPr="0045782B">
        <w:rPr>
          <w:rStyle w:val="FootnoteReference"/>
        </w:rPr>
        <w:footnoteReference w:id="90"/>
      </w:r>
      <w:r w:rsidRPr="0042134F">
        <w:rPr>
          <w:rFonts w:asciiTheme="minorHAnsi" w:hAnsiTheme="minorHAnsi" w:cstheme="minorHAnsi"/>
        </w:rPr>
        <w:t xml:space="preserve"> following the</w:t>
      </w:r>
      <w:r w:rsidRPr="0042134F">
        <w:rPr>
          <w:rFonts w:asciiTheme="minorHAnsi" w:hAnsiTheme="minorHAnsi" w:cstheme="minorHAnsi"/>
          <w:color w:val="333333"/>
          <w:shd w:val="clear" w:color="auto" w:fill="FFFFFF"/>
        </w:rPr>
        <w:t xml:space="preserve"> Hunga Tonga-Hunga </w:t>
      </w:r>
      <w:proofErr w:type="spellStart"/>
      <w:r w:rsidRPr="0042134F">
        <w:rPr>
          <w:rFonts w:asciiTheme="minorHAnsi" w:hAnsiTheme="minorHAnsi" w:cstheme="minorHAnsi"/>
          <w:color w:val="333333"/>
          <w:shd w:val="clear" w:color="auto" w:fill="FFFFFF"/>
        </w:rPr>
        <w:t>Ha’apai</w:t>
      </w:r>
      <w:proofErr w:type="spellEnd"/>
      <w:r w:rsidRPr="0042134F">
        <w:rPr>
          <w:rFonts w:asciiTheme="minorHAnsi" w:hAnsiTheme="minorHAnsi" w:cstheme="minorHAnsi"/>
          <w:color w:val="333333"/>
          <w:shd w:val="clear" w:color="auto" w:fill="FFFFFF"/>
        </w:rPr>
        <w:t xml:space="preserve"> volcanic eruption and tsunami and Vanuatu following twin cyclones in 2023 and more recently with the floods in Brazil and Hurricanes Helene and Milton in the USA</w:t>
      </w:r>
      <w:r w:rsidRPr="0045782B">
        <w:rPr>
          <w:rStyle w:val="FootnoteReference"/>
        </w:rPr>
        <w:footnoteReference w:id="91"/>
      </w:r>
      <w:r w:rsidRPr="0042134F">
        <w:rPr>
          <w:rFonts w:asciiTheme="minorHAnsi" w:hAnsiTheme="minorHAnsi" w:cstheme="minorHAnsi"/>
          <w:color w:val="333333"/>
          <w:shd w:val="clear" w:color="auto" w:fill="FFFFFF"/>
        </w:rPr>
        <w:t>.</w:t>
      </w:r>
    </w:p>
    <w:p w14:paraId="1360DE8E" w14:textId="5E59DBB8" w:rsidR="00581D87" w:rsidRPr="00DE1BD4" w:rsidRDefault="00581D87" w:rsidP="00963CF3">
      <w:pPr>
        <w:pStyle w:val="ListParagraph"/>
        <w:numPr>
          <w:ilvl w:val="0"/>
          <w:numId w:val="26"/>
        </w:numPr>
      </w:pPr>
      <w:r w:rsidRPr="00DE1BD4">
        <w:rPr>
          <w:b/>
          <w:bCs/>
        </w:rPr>
        <w:t>OneWeb</w:t>
      </w:r>
      <w:r w:rsidRPr="00DE1BD4">
        <w:t xml:space="preserve"> is another LEO broadband data system in the first phases of operational establishment. </w:t>
      </w:r>
      <w:r w:rsidR="000F5D8B" w:rsidRPr="00DE1BD4">
        <w:t>Approximately 430 of a constellation of 650 LEO satellites have currently been deployed.</w:t>
      </w:r>
      <w:r w:rsidR="000F5D8B" w:rsidRPr="00DE1BD4">
        <w:rPr>
          <w:rStyle w:val="FootnoteReference"/>
        </w:rPr>
        <w:t xml:space="preserve"> </w:t>
      </w:r>
      <w:r w:rsidRPr="00DE1BD4">
        <w:t xml:space="preserve">The company’s website states that “pop-up” connectivity can be rapidly deployed at short notice to areas with no existing or functioning base stations. </w:t>
      </w:r>
      <w:r w:rsidR="00313775">
        <w:t xml:space="preserve">Services are becoming available </w:t>
      </w:r>
      <w:r w:rsidR="001C3B5D">
        <w:t xml:space="preserve">across Africa </w:t>
      </w:r>
      <w:r w:rsidR="00313775">
        <w:t xml:space="preserve">through </w:t>
      </w:r>
      <w:r w:rsidR="001C3B5D">
        <w:t>various Service Providers</w:t>
      </w:r>
      <w:r w:rsidR="001C3B5D" w:rsidRPr="0045782B">
        <w:rPr>
          <w:rStyle w:val="FootnoteReference"/>
        </w:rPr>
        <w:footnoteReference w:id="92"/>
      </w:r>
      <w:r w:rsidR="007845D4" w:rsidRPr="00DE1BD4">
        <w:t>.</w:t>
      </w:r>
      <w:r w:rsidR="00543AB6" w:rsidRPr="00DE1BD4">
        <w:t xml:space="preserve"> </w:t>
      </w:r>
    </w:p>
    <w:bookmarkEnd w:id="270"/>
    <w:bookmarkEnd w:id="271"/>
    <w:bookmarkEnd w:id="272"/>
    <w:bookmarkEnd w:id="273"/>
    <w:p w14:paraId="416B5ECD" w14:textId="25C51FF9" w:rsidR="00B647FC" w:rsidRPr="00DE1BD4" w:rsidRDefault="00B647FC" w:rsidP="0040582E">
      <w:pPr>
        <w:pStyle w:val="ListParagraph"/>
        <w:numPr>
          <w:ilvl w:val="0"/>
          <w:numId w:val="9"/>
        </w:numPr>
      </w:pPr>
      <w:r w:rsidRPr="00DE1BD4">
        <w:rPr>
          <w:b/>
          <w:bCs/>
        </w:rPr>
        <w:t>Amazon Kuiper</w:t>
      </w:r>
      <w:r w:rsidRPr="00DE1BD4">
        <w:t xml:space="preserve"> a LEO broadband data system that replicates </w:t>
      </w:r>
      <w:r w:rsidR="00E46984" w:rsidRPr="00DE1BD4">
        <w:t xml:space="preserve">the </w:t>
      </w:r>
      <w:r w:rsidRPr="00DE1BD4">
        <w:t>Starlink</w:t>
      </w:r>
      <w:r w:rsidR="00E46984" w:rsidRPr="00DE1BD4">
        <w:t xml:space="preserve"> model, designed for commodity pricing and ease of set up.</w:t>
      </w:r>
      <w:r w:rsidR="00B86C4A" w:rsidRPr="00DE1BD4">
        <w:t xml:space="preserve"> Testing is currently underway with limited services by end of 2024 and global services in 2025</w:t>
      </w:r>
      <w:r w:rsidR="00F40411" w:rsidRPr="0045782B">
        <w:rPr>
          <w:rStyle w:val="FootnoteReference"/>
        </w:rPr>
        <w:footnoteReference w:id="93"/>
      </w:r>
      <w:r w:rsidR="00F40411" w:rsidRPr="00DE1BD4">
        <w:t>.</w:t>
      </w:r>
    </w:p>
    <w:p w14:paraId="5B28EADC" w14:textId="66428A5C" w:rsidR="00581D87" w:rsidRPr="00DE1BD4" w:rsidRDefault="00581D87" w:rsidP="0040582E">
      <w:pPr>
        <w:pStyle w:val="ListParagraph"/>
        <w:numPr>
          <w:ilvl w:val="0"/>
          <w:numId w:val="9"/>
        </w:numPr>
      </w:pPr>
      <w:r w:rsidRPr="00DE1BD4">
        <w:rPr>
          <w:b/>
          <w:bCs/>
        </w:rPr>
        <w:t>Iridium</w:t>
      </w:r>
      <w:r w:rsidRPr="00DE1BD4">
        <w:t>, a</w:t>
      </w:r>
      <w:r w:rsidR="00DD2C2D" w:rsidRPr="00DE1BD4">
        <w:t>n</w:t>
      </w:r>
      <w:r w:rsidRPr="00DE1BD4">
        <w:t xml:space="preserve"> L-band Low Earth Orbit (LEO) systems, primarily used for voice </w:t>
      </w:r>
      <w:r w:rsidR="00387463" w:rsidRPr="00DE1BD4">
        <w:t>communications.</w:t>
      </w:r>
    </w:p>
    <w:p w14:paraId="4BC6DB41" w14:textId="3E80B66E" w:rsidR="00581D87" w:rsidRPr="00DE1BD4" w:rsidRDefault="00581D87" w:rsidP="0040582E">
      <w:pPr>
        <w:pStyle w:val="ListParagraph"/>
        <w:numPr>
          <w:ilvl w:val="0"/>
          <w:numId w:val="9"/>
        </w:numPr>
      </w:pPr>
      <w:r w:rsidRPr="00DE1BD4">
        <w:rPr>
          <w:b/>
          <w:bCs/>
        </w:rPr>
        <w:t>Telesat</w:t>
      </w:r>
      <w:r w:rsidRPr="00DE1BD4">
        <w:t xml:space="preserve"> </w:t>
      </w:r>
      <w:r w:rsidR="000F5D8B" w:rsidRPr="00DE1BD4">
        <w:t>a</w:t>
      </w:r>
      <w:r w:rsidRPr="00DE1BD4">
        <w:t xml:space="preserve"> Canadian </w:t>
      </w:r>
      <w:r w:rsidR="000F5D8B" w:rsidRPr="00DE1BD4">
        <w:t>company</w:t>
      </w:r>
      <w:r w:rsidRPr="00DE1BD4">
        <w:t xml:space="preserve"> </w:t>
      </w:r>
      <w:r w:rsidR="000F5D8B" w:rsidRPr="00DE1BD4">
        <w:t>planning a</w:t>
      </w:r>
      <w:r w:rsidRPr="00DE1BD4">
        <w:t xml:space="preserve"> constellation of 298 LEOs and only around 30 ground stations globally.  The</w:t>
      </w:r>
      <w:r w:rsidR="000F5D8B" w:rsidRPr="00DE1BD4">
        <w:t>ir</w:t>
      </w:r>
      <w:r w:rsidRPr="00DE1BD4">
        <w:t xml:space="preserve"> Lightspeed satellites will leverage intersatellite links which allow satellites to create data connections to each other, rather than individually connecting to points on the ground. Telesat’s target market is enterprise level rather than individual consumers. The service is expected to launch in 2023 </w:t>
      </w:r>
      <w:r w:rsidRPr="0045782B">
        <w:rPr>
          <w:rStyle w:val="FootnoteReference"/>
        </w:rPr>
        <w:footnoteReference w:id="94"/>
      </w:r>
      <w:r w:rsidR="00DD2C2D" w:rsidRPr="00DE1BD4">
        <w:t>.</w:t>
      </w:r>
    </w:p>
    <w:p w14:paraId="0046250D" w14:textId="31770150" w:rsidR="00581D87" w:rsidRPr="00DE1BD4" w:rsidRDefault="00581D87" w:rsidP="0040582E">
      <w:pPr>
        <w:pStyle w:val="ListParagraph"/>
        <w:numPr>
          <w:ilvl w:val="0"/>
          <w:numId w:val="9"/>
        </w:numPr>
      </w:pPr>
      <w:proofErr w:type="spellStart"/>
      <w:r w:rsidRPr="00DE1BD4">
        <w:rPr>
          <w:b/>
          <w:bCs/>
        </w:rPr>
        <w:t>Omnispace</w:t>
      </w:r>
      <w:proofErr w:type="spellEnd"/>
      <w:r w:rsidRPr="00DE1BD4">
        <w:t xml:space="preserve"> a LEO satellite start-up which aims to deliver 5G services directly to consumer’s handsets. That is, a “direct to device capability” — rather than “expensive and bulky” ground terminals </w:t>
      </w:r>
      <w:r w:rsidRPr="0045782B">
        <w:rPr>
          <w:rStyle w:val="FootnoteReference"/>
        </w:rPr>
        <w:footnoteReference w:id="95"/>
      </w:r>
      <w:r w:rsidR="00DD2C2D" w:rsidRPr="00DE1BD4">
        <w:t>.</w:t>
      </w:r>
    </w:p>
    <w:p w14:paraId="6680512D" w14:textId="370E1BF7" w:rsidR="00140777" w:rsidRPr="00DE1BD4" w:rsidRDefault="00162FAF" w:rsidP="002C4B69">
      <w:pPr>
        <w:pStyle w:val="Heading3"/>
      </w:pPr>
      <w:bookmarkStart w:id="311" w:name="_4bvk7pj"/>
      <w:bookmarkStart w:id="312" w:name="_2r0uhxc"/>
      <w:bookmarkStart w:id="313" w:name="_34g0dwd"/>
      <w:bookmarkStart w:id="314" w:name="_Toc181885808"/>
      <w:bookmarkStart w:id="315" w:name="_Toc89608448"/>
      <w:bookmarkStart w:id="316" w:name="_Toc90825861"/>
      <w:bookmarkStart w:id="317" w:name="_Toc90825998"/>
      <w:bookmarkStart w:id="318" w:name="_Toc91172653"/>
      <w:bookmarkStart w:id="319" w:name="_Toc91185540"/>
      <w:bookmarkEnd w:id="311"/>
      <w:bookmarkEnd w:id="312"/>
      <w:bookmarkEnd w:id="313"/>
      <w:r w:rsidRPr="00DE1BD4">
        <w:t>VSAT</w:t>
      </w:r>
      <w:bookmarkEnd w:id="314"/>
    </w:p>
    <w:p w14:paraId="011ABF6C" w14:textId="54D5056F" w:rsidR="00140777" w:rsidRPr="00DE1BD4" w:rsidRDefault="00162FAF" w:rsidP="00140777">
      <w:r w:rsidRPr="00DE1BD4">
        <w:t xml:space="preserve">Different private companies offer data transmission services and Internet access through VSAT (Very Small Aperture Terminal) technology. These service offers vary in speed ranges according to each provider, which mainly use the frequency bands </w:t>
      </w:r>
      <w:commentRangeStart w:id="320"/>
      <w:r w:rsidRPr="00DE1BD4">
        <w:t>C</w:t>
      </w:r>
      <w:r w:rsidR="008A13FB">
        <w:t>,</w:t>
      </w:r>
      <w:r w:rsidRPr="00DE1BD4">
        <w:t xml:space="preserve"> Ku</w:t>
      </w:r>
      <w:r w:rsidR="008A13FB">
        <w:t xml:space="preserve"> and Ka</w:t>
      </w:r>
      <w:r w:rsidRPr="00DE1BD4">
        <w:t xml:space="preserve"> </w:t>
      </w:r>
      <w:commentRangeEnd w:id="320"/>
      <w:r w:rsidR="0004473B">
        <w:rPr>
          <w:rStyle w:val="CommentReference"/>
        </w:rPr>
        <w:commentReference w:id="320"/>
      </w:r>
      <w:r w:rsidRPr="00DE1BD4">
        <w:t>and offer coverage across the country.</w:t>
      </w:r>
      <w:r w:rsidR="00E45A8A">
        <w:t xml:space="preserve"> </w:t>
      </w:r>
      <w:r w:rsidR="002E7DA9">
        <w:t>The Gambia</w:t>
      </w:r>
      <w:r w:rsidR="003E2DDC">
        <w:t xml:space="preserve"> has </w:t>
      </w:r>
      <w:r w:rsidR="003E2DDC" w:rsidRPr="002E7DA9">
        <w:rPr>
          <w:highlight w:val="yellow"/>
        </w:rPr>
        <w:t xml:space="preserve">over </w:t>
      </w:r>
      <w:r w:rsidR="001C19AA">
        <w:rPr>
          <w:highlight w:val="yellow"/>
        </w:rPr>
        <w:t>??</w:t>
      </w:r>
      <w:r w:rsidR="003E2DDC">
        <w:t xml:space="preserve"> licensed VSAT terminals in the country.</w:t>
      </w:r>
    </w:p>
    <w:p w14:paraId="6402763F" w14:textId="77777777" w:rsidR="00162FAF" w:rsidRPr="00DE1BD4" w:rsidRDefault="00162FAF" w:rsidP="00162FAF">
      <w:pPr>
        <w:pStyle w:val="Heading3"/>
      </w:pPr>
      <w:bookmarkStart w:id="321" w:name="_Ref128650530"/>
      <w:bookmarkStart w:id="322" w:name="_Ref128650551"/>
      <w:bookmarkStart w:id="323" w:name="_Ref128650571"/>
      <w:bookmarkStart w:id="324" w:name="_Toc181885809"/>
      <w:r w:rsidRPr="00DE1BD4">
        <w:t>Broadband Global Area Network (BGAN)</w:t>
      </w:r>
      <w:bookmarkEnd w:id="321"/>
      <w:bookmarkEnd w:id="322"/>
      <w:bookmarkEnd w:id="323"/>
      <w:bookmarkEnd w:id="324"/>
    </w:p>
    <w:p w14:paraId="4D7F2FFE" w14:textId="7299ED40" w:rsidR="00162FAF" w:rsidRPr="00DE1BD4" w:rsidRDefault="00162FAF" w:rsidP="00162FAF">
      <w:r w:rsidRPr="00DE1BD4">
        <w:t xml:space="preserve">BGAN is robust, affordable, and highly portable service. It provides a viable technology where IP cellular networks don’t exist or are unreliable. There is insufficient information to determine the use, quantity and locality of BGANs in </w:t>
      </w:r>
      <w:r w:rsidR="00FE2611">
        <w:t>The Gambia</w:t>
      </w:r>
      <w:r w:rsidR="00AA41A5" w:rsidRPr="00DE1BD4">
        <w:t>.</w:t>
      </w:r>
    </w:p>
    <w:p w14:paraId="71EBF380" w14:textId="157C224B" w:rsidR="00C77F56" w:rsidRPr="00DE1BD4" w:rsidRDefault="002C4B69" w:rsidP="002C4B69">
      <w:pPr>
        <w:pStyle w:val="Heading3"/>
      </w:pPr>
      <w:bookmarkStart w:id="325" w:name="_Toc181885810"/>
      <w:r w:rsidRPr="00DE1BD4">
        <w:t>Satellite Phones</w:t>
      </w:r>
      <w:bookmarkEnd w:id="325"/>
    </w:p>
    <w:p w14:paraId="60F97F09" w14:textId="3AA31127" w:rsidR="002C4B69" w:rsidRPr="00DE1BD4" w:rsidRDefault="00803F47" w:rsidP="002C4B69">
      <w:r w:rsidRPr="00DE1BD4">
        <w:t xml:space="preserve">Various government agencies and other organisations in </w:t>
      </w:r>
      <w:r w:rsidR="00FE2611">
        <w:t>The Gambia</w:t>
      </w:r>
      <w:r w:rsidRPr="00DE1BD4">
        <w:t xml:space="preserve"> keep satellite phones as back up communication devices. </w:t>
      </w:r>
      <w:r w:rsidR="00E554E2" w:rsidRPr="00DE1BD4">
        <w:t>However, there are inconsistent records on what devices are available and what government agencies have those devices.</w:t>
      </w:r>
    </w:p>
    <w:p w14:paraId="4B7EA9F6" w14:textId="2F13A35A" w:rsidR="008F34BA" w:rsidRPr="00DE1BD4" w:rsidRDefault="008F34BA" w:rsidP="002C4B69">
      <w:r w:rsidRPr="00DE1BD4">
        <w:t>The increasing development of the Direct to Device (D2D)</w:t>
      </w:r>
      <w:r w:rsidR="00AD1097" w:rsidRPr="00DE1BD4">
        <w:t xml:space="preserve"> capabilities of LEO satellites and the ability to make use of 3GPP standards and the latest smart phone technology, will see a change in the </w:t>
      </w:r>
      <w:r w:rsidR="00964955" w:rsidRPr="00DE1BD4">
        <w:t>market for dedicated satellite phones.</w:t>
      </w:r>
    </w:p>
    <w:p w14:paraId="050B8668" w14:textId="77777777" w:rsidR="00F96B46" w:rsidRPr="00DE1BD4" w:rsidRDefault="00F96B46" w:rsidP="00F96B46">
      <w:pPr>
        <w:pStyle w:val="Heading2"/>
      </w:pPr>
      <w:bookmarkStart w:id="326" w:name="_2lwamvv"/>
      <w:bookmarkStart w:id="327" w:name="_111kx3o"/>
      <w:bookmarkStart w:id="328" w:name="_3l18frh"/>
      <w:bookmarkStart w:id="329" w:name="_2zbgiuw"/>
      <w:bookmarkStart w:id="330" w:name="_1egqt2p"/>
      <w:bookmarkStart w:id="331" w:name="_3ygebqi"/>
      <w:bookmarkStart w:id="332" w:name="_2dlolyb"/>
      <w:bookmarkStart w:id="333" w:name="_sqyw64"/>
      <w:bookmarkStart w:id="334" w:name="_kgcv8k"/>
      <w:bookmarkStart w:id="335" w:name="_Toc181885811"/>
      <w:bookmarkStart w:id="336" w:name="_Toc90825895"/>
      <w:bookmarkStart w:id="337" w:name="_Toc90826016"/>
      <w:bookmarkStart w:id="338" w:name="_Toc91172671"/>
      <w:bookmarkStart w:id="339" w:name="_Toc91185558"/>
      <w:bookmarkStart w:id="340" w:name="_Hlk110178440"/>
      <w:bookmarkEnd w:id="258"/>
      <w:bookmarkEnd w:id="259"/>
      <w:bookmarkEnd w:id="260"/>
      <w:bookmarkEnd w:id="261"/>
      <w:bookmarkEnd w:id="262"/>
      <w:bookmarkEnd w:id="263"/>
      <w:bookmarkEnd w:id="315"/>
      <w:bookmarkEnd w:id="316"/>
      <w:bookmarkEnd w:id="317"/>
      <w:bookmarkEnd w:id="318"/>
      <w:bookmarkEnd w:id="319"/>
      <w:bookmarkEnd w:id="326"/>
      <w:bookmarkEnd w:id="327"/>
      <w:bookmarkEnd w:id="328"/>
      <w:bookmarkEnd w:id="329"/>
      <w:bookmarkEnd w:id="330"/>
      <w:bookmarkEnd w:id="331"/>
      <w:bookmarkEnd w:id="332"/>
      <w:bookmarkEnd w:id="333"/>
      <w:bookmarkEnd w:id="334"/>
      <w:r w:rsidRPr="00DE1BD4">
        <w:t>Spectrum Management</w:t>
      </w:r>
      <w:bookmarkEnd w:id="335"/>
    </w:p>
    <w:bookmarkEnd w:id="336"/>
    <w:bookmarkEnd w:id="337"/>
    <w:bookmarkEnd w:id="338"/>
    <w:bookmarkEnd w:id="339"/>
    <w:bookmarkEnd w:id="340"/>
    <w:p w14:paraId="69C19818" w14:textId="3C83D91B" w:rsidR="00FE3EE5" w:rsidRPr="00DE1BD4" w:rsidRDefault="00F96B46" w:rsidP="00F96B46">
      <w:r w:rsidRPr="00DE1BD4">
        <w:t>One of the key areas of management for</w:t>
      </w:r>
      <w:r w:rsidR="005444BC" w:rsidRPr="00DE1BD4">
        <w:t xml:space="preserve"> </w:t>
      </w:r>
      <w:r w:rsidR="009621FB">
        <w:t>PURA</w:t>
      </w:r>
      <w:r w:rsidR="005444BC" w:rsidRPr="00DE1BD4">
        <w:t xml:space="preserve"> is that of</w:t>
      </w:r>
      <w:r w:rsidRPr="00DE1BD4">
        <w:t xml:space="preserve"> </w:t>
      </w:r>
      <w:r w:rsidR="00A357A1" w:rsidRPr="00DE1BD4">
        <w:t xml:space="preserve">radio </w:t>
      </w:r>
      <w:r w:rsidRPr="00DE1BD4">
        <w:t>spectrum</w:t>
      </w:r>
      <w:r w:rsidR="00A357A1" w:rsidRPr="00DE1BD4">
        <w:t>. This spectrum is utilised by various providers for various services,</w:t>
      </w:r>
      <w:r w:rsidR="00FE3EE5" w:rsidRPr="00DE1BD4">
        <w:t xml:space="preserve"> </w:t>
      </w:r>
      <w:r w:rsidR="00A357A1" w:rsidRPr="00DE1BD4">
        <w:t xml:space="preserve">such as </w:t>
      </w:r>
      <w:r w:rsidR="00052CDD" w:rsidRPr="00DE1BD4">
        <w:t xml:space="preserve">mobile </w:t>
      </w:r>
      <w:r w:rsidR="00FE3EE5" w:rsidRPr="00DE1BD4">
        <w:t>telephony</w:t>
      </w:r>
      <w:r w:rsidR="00052CDD" w:rsidRPr="00DE1BD4">
        <w:t xml:space="preserve">, television and radio broadcasting and for </w:t>
      </w:r>
      <w:r w:rsidR="00FE3EE5" w:rsidRPr="00DE1BD4">
        <w:t>radio systems support first responders, taxis and other such services.</w:t>
      </w:r>
    </w:p>
    <w:p w14:paraId="262FE547" w14:textId="024ECB56" w:rsidR="00F96B46" w:rsidRPr="00DE1BD4" w:rsidRDefault="00F96B46" w:rsidP="00F96B46">
      <w:r w:rsidRPr="00DE1BD4">
        <w:t xml:space="preserve">Spectrum bands associated with </w:t>
      </w:r>
      <w:r w:rsidR="00FE3EE5" w:rsidRPr="00DE1BD4">
        <w:t xml:space="preserve">Public Protection and Disaster Relief (PPDR) </w:t>
      </w:r>
      <w:r w:rsidRPr="00DE1BD4">
        <w:t>have been going through a harmonisation process</w:t>
      </w:r>
      <w:r w:rsidR="006146BA" w:rsidRPr="00DE1BD4">
        <w:t xml:space="preserve">, </w:t>
      </w:r>
      <w:r w:rsidR="00D20A3E" w:rsidRPr="00DE1BD4">
        <w:t>facilitated</w:t>
      </w:r>
      <w:r w:rsidR="006146BA" w:rsidRPr="00DE1BD4">
        <w:t xml:space="preserve"> by the ITU</w:t>
      </w:r>
      <w:r w:rsidR="007822A0">
        <w:t>.</w:t>
      </w:r>
      <w:r w:rsidR="0012576F" w:rsidRPr="00DE1BD4">
        <w:t xml:space="preserve"> </w:t>
      </w:r>
      <w:r w:rsidR="00711951">
        <w:t>T</w:t>
      </w:r>
      <w:r w:rsidR="0012576F" w:rsidRPr="00DE1BD4">
        <w:t xml:space="preserve">he </w:t>
      </w:r>
      <w:r w:rsidR="00711951">
        <w:t xml:space="preserve">Southern Africa Development </w:t>
      </w:r>
      <w:r w:rsidR="00263B55">
        <w:t>Comm</w:t>
      </w:r>
      <w:r w:rsidR="00BA796E">
        <w:t>unity (</w:t>
      </w:r>
      <w:r w:rsidR="0012576F" w:rsidRPr="00DE1BD4">
        <w:t>SADC</w:t>
      </w:r>
      <w:r w:rsidR="00BA796E">
        <w:t>)</w:t>
      </w:r>
      <w:r w:rsidR="0012576F" w:rsidRPr="00DE1BD4">
        <w:t xml:space="preserve"> and</w:t>
      </w:r>
      <w:r w:rsidR="006146BA" w:rsidRPr="00DE1BD4">
        <w:t xml:space="preserve"> the </w:t>
      </w:r>
      <w:r w:rsidR="0012576F" w:rsidRPr="00DE1BD4">
        <w:t xml:space="preserve">Communications Regulators’ Association of South Africa (CRASA) </w:t>
      </w:r>
      <w:r w:rsidR="00711951">
        <w:t xml:space="preserve">have been instrumental in </w:t>
      </w:r>
      <w:r w:rsidR="00BA796E">
        <w:t xml:space="preserve">this activity </w:t>
      </w:r>
      <w:r w:rsidR="004F4986">
        <w:t xml:space="preserve">and </w:t>
      </w:r>
      <w:r w:rsidRPr="00DE1BD4">
        <w:t>ensur</w:t>
      </w:r>
      <w:r w:rsidR="004F4986">
        <w:t>ing</w:t>
      </w:r>
      <w:r w:rsidRPr="00DE1BD4">
        <w:t xml:space="preserve"> that there is alignment across </w:t>
      </w:r>
      <w:r w:rsidR="004F4986">
        <w:t xml:space="preserve">the SADC </w:t>
      </w:r>
      <w:r w:rsidRPr="00DE1BD4">
        <w:t>countries, making the movement and use of infrastructure that utilise these frequencies easier between responding and recipient countries.</w:t>
      </w:r>
      <w:r w:rsidR="00D20A3E" w:rsidRPr="00DE1BD4">
        <w:t xml:space="preserve"> The outcome has led to the development of a framework for this harmonisation</w:t>
      </w:r>
      <w:r w:rsidR="00D20A3E" w:rsidRPr="0045782B">
        <w:rPr>
          <w:rStyle w:val="FootnoteReference"/>
        </w:rPr>
        <w:footnoteReference w:id="96"/>
      </w:r>
      <w:r w:rsidR="00D51DB6" w:rsidRPr="00DE1BD4">
        <w:t>.</w:t>
      </w:r>
    </w:p>
    <w:p w14:paraId="167B8FB1" w14:textId="5A30B233" w:rsidR="00F96B46" w:rsidRPr="00DE1BD4" w:rsidRDefault="00F96B46" w:rsidP="00F96B46">
      <w:pPr>
        <w:pStyle w:val="Heading3"/>
      </w:pPr>
      <w:bookmarkStart w:id="341" w:name="_Toc101340512"/>
      <w:bookmarkStart w:id="342" w:name="_Toc181885812"/>
      <w:r w:rsidRPr="00DE1BD4">
        <w:t>Frequencies for Public Protection and Disaster Relief (PPDR)</w:t>
      </w:r>
      <w:bookmarkEnd w:id="341"/>
      <w:r w:rsidRPr="00DE1BD4">
        <w:t xml:space="preserve"> Region </w:t>
      </w:r>
      <w:r w:rsidR="00A1617E" w:rsidRPr="00DE1BD4">
        <w:t>1</w:t>
      </w:r>
      <w:bookmarkEnd w:id="342"/>
    </w:p>
    <w:p w14:paraId="016D6E67" w14:textId="79B120A9" w:rsidR="004D7FA1" w:rsidRDefault="009C5B22" w:rsidP="00F96B46">
      <w:r w:rsidRPr="00DE1BD4">
        <w:t xml:space="preserve">Based on the </w:t>
      </w:r>
      <w:r w:rsidRPr="00DE1BD4">
        <w:rPr>
          <w:i/>
          <w:iCs/>
        </w:rPr>
        <w:t xml:space="preserve">Framework for Harmonisation of Spectrum for Public Protection and Disaster </w:t>
      </w:r>
      <w:r w:rsidR="00D51DB6" w:rsidRPr="00DE1BD4">
        <w:rPr>
          <w:i/>
          <w:iCs/>
        </w:rPr>
        <w:t>R</w:t>
      </w:r>
      <w:r w:rsidRPr="00DE1BD4">
        <w:rPr>
          <w:i/>
          <w:iCs/>
        </w:rPr>
        <w:t>elief (PPDR) in SADC</w:t>
      </w:r>
      <w:r w:rsidRPr="00DE1BD4">
        <w:t xml:space="preserve">, </w:t>
      </w:r>
      <w:r w:rsidR="00D51DB6" w:rsidRPr="00DE1BD4">
        <w:t xml:space="preserve">there are </w:t>
      </w:r>
      <w:r w:rsidR="00F96B46" w:rsidRPr="00DE1BD4">
        <w:t xml:space="preserve">several frequencies that have been harmonised for PPDR working across the ITU Region </w:t>
      </w:r>
      <w:r w:rsidR="00542028">
        <w:t>1</w:t>
      </w:r>
      <w:r w:rsidR="00F96B46" w:rsidRPr="00DE1BD4">
        <w:t xml:space="preserve"> frequency allocation arrangements. </w:t>
      </w:r>
      <w:r w:rsidR="00D51DB6" w:rsidRPr="00DE1BD4">
        <w:t>CRASA</w:t>
      </w:r>
      <w:r w:rsidR="00F96B46" w:rsidRPr="00DE1BD4">
        <w:t xml:space="preserve"> have undertaken this harmonisation work and provide reports and recommendations to Regulators </w:t>
      </w:r>
      <w:r w:rsidR="00542028">
        <w:t>on</w:t>
      </w:r>
      <w:r w:rsidR="00F96B46" w:rsidRPr="00DE1BD4">
        <w:t xml:space="preserve"> this harmonisation work.</w:t>
      </w:r>
      <w:r w:rsidR="002A2AC7">
        <w:t xml:space="preserve"> </w:t>
      </w:r>
      <w:r w:rsidR="00D51DB6" w:rsidRPr="00DE1BD4">
        <w:t>CRASA</w:t>
      </w:r>
      <w:r w:rsidR="00F96B46" w:rsidRPr="00DE1BD4">
        <w:t xml:space="preserve"> provides important considerations for the use of these frequencies for PPDR applications as </w:t>
      </w:r>
      <w:r w:rsidR="00151DE7">
        <w:t xml:space="preserve">outlined in </w:t>
      </w:r>
      <w:r w:rsidR="00151DE7">
        <w:fldChar w:fldCharType="begin"/>
      </w:r>
      <w:r w:rsidR="00151DE7">
        <w:instrText xml:space="preserve"> REF _Ref174281882 \h </w:instrText>
      </w:r>
      <w:r w:rsidR="00151DE7">
        <w:fldChar w:fldCharType="separate"/>
      </w:r>
      <w:r w:rsidR="006B65AA" w:rsidRPr="00DE1BD4">
        <w:t xml:space="preserve">Table </w:t>
      </w:r>
      <w:r w:rsidR="006B65AA">
        <w:rPr>
          <w:noProof/>
        </w:rPr>
        <w:t>5</w:t>
      </w:r>
      <w:r w:rsidR="00151DE7">
        <w:fldChar w:fldCharType="end"/>
      </w:r>
      <w:r w:rsidR="00151DE7">
        <w:t xml:space="preserve"> below</w:t>
      </w:r>
      <w:r w:rsidR="004D7FA1">
        <w:t>.</w:t>
      </w:r>
    </w:p>
    <w:p w14:paraId="5A236F39" w14:textId="19373F23" w:rsidR="00F96B46" w:rsidRPr="00DE1BD4" w:rsidRDefault="00B45C9A" w:rsidP="00F96B46">
      <w:r w:rsidRPr="00BB48C0">
        <w:rPr>
          <w:highlight w:val="yellow"/>
        </w:rPr>
        <w:t>PURA</w:t>
      </w:r>
      <w:r w:rsidR="004D7FA1" w:rsidRPr="00BB48C0">
        <w:rPr>
          <w:highlight w:val="yellow"/>
        </w:rPr>
        <w:t xml:space="preserve"> has provided guidance on the PPDR spectrum</w:t>
      </w:r>
      <w:r w:rsidR="004D7FA1" w:rsidRPr="00BB48C0">
        <w:rPr>
          <w:highlight w:val="yellow"/>
          <w:vertAlign w:val="superscript"/>
        </w:rPr>
        <w:t xml:space="preserve"> </w:t>
      </w:r>
      <w:r w:rsidR="004D7FA1" w:rsidRPr="00BB48C0">
        <w:rPr>
          <w:highlight w:val="yellow"/>
        </w:rPr>
        <w:t xml:space="preserve">identified within these harmonised band as part of </w:t>
      </w:r>
      <w:r w:rsidR="006B65AA" w:rsidRPr="00BB48C0">
        <w:rPr>
          <w:highlight w:val="yellow"/>
        </w:rPr>
        <w:t>T</w:t>
      </w:r>
      <w:r w:rsidR="004D7FA1" w:rsidRPr="00BB48C0">
        <w:rPr>
          <w:highlight w:val="yellow"/>
        </w:rPr>
        <w:t>he</w:t>
      </w:r>
      <w:r w:rsidR="006B65AA" w:rsidRPr="00BB48C0">
        <w:rPr>
          <w:highlight w:val="yellow"/>
        </w:rPr>
        <w:t xml:space="preserve"> Gambia</w:t>
      </w:r>
      <w:r w:rsidR="004D7FA1" w:rsidRPr="00BB48C0">
        <w:rPr>
          <w:highlight w:val="yellow"/>
        </w:rPr>
        <w:t xml:space="preserve"> National Frequency Allocation </w:t>
      </w:r>
      <w:r w:rsidR="006B65AA" w:rsidRPr="00BB48C0">
        <w:rPr>
          <w:highlight w:val="yellow"/>
        </w:rPr>
        <w:t>Table</w:t>
      </w:r>
      <w:r w:rsidR="004D7FA1" w:rsidRPr="00BB48C0">
        <w:rPr>
          <w:highlight w:val="yellow"/>
        </w:rPr>
        <w:t xml:space="preserve"> (</w:t>
      </w:r>
      <w:r w:rsidR="006B65AA" w:rsidRPr="00BB48C0">
        <w:rPr>
          <w:highlight w:val="yellow"/>
        </w:rPr>
        <w:t>G</w:t>
      </w:r>
      <w:r w:rsidR="004D7FA1" w:rsidRPr="00BB48C0">
        <w:rPr>
          <w:highlight w:val="yellow"/>
        </w:rPr>
        <w:t>NFA</w:t>
      </w:r>
      <w:r w:rsidR="006B65AA" w:rsidRPr="00BB48C0">
        <w:rPr>
          <w:highlight w:val="yellow"/>
        </w:rPr>
        <w:t>T</w:t>
      </w:r>
      <w:r w:rsidR="004D7FA1" w:rsidRPr="00BB48C0">
        <w:rPr>
          <w:highlight w:val="yellow"/>
        </w:rPr>
        <w:t xml:space="preserve">). In general, the frequencies allocated under the NFAP are in line with those identified by CRASA in </w:t>
      </w:r>
      <w:r w:rsidR="00096537" w:rsidRPr="00096537">
        <w:rPr>
          <w:highlight w:val="yellow"/>
        </w:rPr>
        <w:fldChar w:fldCharType="begin"/>
      </w:r>
      <w:r w:rsidR="00096537" w:rsidRPr="00096537">
        <w:rPr>
          <w:highlight w:val="yellow"/>
        </w:rPr>
        <w:instrText xml:space="preserve"> REF _Ref174281882 \h </w:instrText>
      </w:r>
      <w:r w:rsidR="00096537">
        <w:rPr>
          <w:highlight w:val="yellow"/>
        </w:rPr>
        <w:instrText xml:space="preserve"> \* MERGEFORMAT </w:instrText>
      </w:r>
      <w:r w:rsidR="00096537" w:rsidRPr="00096537">
        <w:rPr>
          <w:highlight w:val="yellow"/>
        </w:rPr>
      </w:r>
      <w:r w:rsidR="00096537" w:rsidRPr="00096537">
        <w:rPr>
          <w:highlight w:val="yellow"/>
        </w:rPr>
        <w:fldChar w:fldCharType="separate"/>
      </w:r>
      <w:r w:rsidR="00096537" w:rsidRPr="00096537">
        <w:rPr>
          <w:highlight w:val="yellow"/>
        </w:rPr>
        <w:t xml:space="preserve">Table </w:t>
      </w:r>
      <w:r w:rsidR="00096537" w:rsidRPr="00096537">
        <w:rPr>
          <w:noProof/>
          <w:highlight w:val="yellow"/>
        </w:rPr>
        <w:t>6</w:t>
      </w:r>
      <w:r w:rsidR="00096537" w:rsidRPr="00096537">
        <w:rPr>
          <w:highlight w:val="yellow"/>
        </w:rPr>
        <w:fldChar w:fldCharType="end"/>
      </w:r>
      <w:r w:rsidR="004D7FA1" w:rsidRPr="00096537">
        <w:rPr>
          <w:highlight w:val="yellow"/>
        </w:rPr>
        <w:fldChar w:fldCharType="begin"/>
      </w:r>
      <w:r w:rsidR="004D7FA1" w:rsidRPr="00096537">
        <w:rPr>
          <w:highlight w:val="yellow"/>
        </w:rPr>
        <w:instrText xml:space="preserve"> REF _Ref174281882 \h  \* MERGEFORMAT </w:instrText>
      </w:r>
      <w:r w:rsidR="004D7FA1" w:rsidRPr="00096537">
        <w:rPr>
          <w:highlight w:val="yellow"/>
        </w:rPr>
      </w:r>
      <w:r w:rsidR="004D7FA1" w:rsidRPr="00096537">
        <w:rPr>
          <w:highlight w:val="yellow"/>
        </w:rPr>
        <w:fldChar w:fldCharType="separate"/>
      </w:r>
      <w:r w:rsidR="004D7FA1" w:rsidRPr="00096537">
        <w:rPr>
          <w:highlight w:val="yellow"/>
        </w:rPr>
        <w:fldChar w:fldCharType="end"/>
      </w:r>
      <w:r w:rsidR="004D7FA1" w:rsidRPr="00096537">
        <w:rPr>
          <w:highlight w:val="yellow"/>
        </w:rPr>
        <w:t xml:space="preserve"> below</w:t>
      </w:r>
      <w:r w:rsidR="002A2AC7">
        <w:t xml:space="preserve">. </w:t>
      </w:r>
    </w:p>
    <w:p w14:paraId="7044F926" w14:textId="04FD7091" w:rsidR="00793B19" w:rsidRPr="00DE1BD4" w:rsidRDefault="00793B19" w:rsidP="00793B19">
      <w:pPr>
        <w:pStyle w:val="Caption"/>
        <w:jc w:val="center"/>
      </w:pPr>
      <w:bookmarkStart w:id="343" w:name="_Ref174281882"/>
      <w:bookmarkStart w:id="344" w:name="_Toc181885859"/>
      <w:r w:rsidRPr="00DE1BD4">
        <w:t xml:space="preserve">Table </w:t>
      </w:r>
      <w:r w:rsidRPr="00DE1BD4">
        <w:fldChar w:fldCharType="begin"/>
      </w:r>
      <w:r w:rsidRPr="00DE1BD4">
        <w:instrText xml:space="preserve"> SEQ Table \* ARABIC </w:instrText>
      </w:r>
      <w:r w:rsidRPr="00DE1BD4">
        <w:fldChar w:fldCharType="separate"/>
      </w:r>
      <w:r w:rsidR="00096537">
        <w:rPr>
          <w:noProof/>
        </w:rPr>
        <w:t>6</w:t>
      </w:r>
      <w:r w:rsidRPr="00DE1BD4">
        <w:fldChar w:fldCharType="end"/>
      </w:r>
      <w:bookmarkEnd w:id="343"/>
      <w:r w:rsidRPr="00DE1BD4">
        <w:t xml:space="preserve"> </w:t>
      </w:r>
      <w:bookmarkStart w:id="345" w:name="_Ref174281863"/>
      <w:r w:rsidRPr="00DE1BD4">
        <w:t>- Frequency Bands Adopted for PPDR</w:t>
      </w:r>
      <w:r w:rsidRPr="0045782B">
        <w:rPr>
          <w:rStyle w:val="FootnoteReference"/>
        </w:rPr>
        <w:footnoteReference w:id="97"/>
      </w:r>
      <w:bookmarkEnd w:id="344"/>
      <w:bookmarkEnd w:id="345"/>
    </w:p>
    <w:p w14:paraId="709B07FA" w14:textId="6E645EC0" w:rsidR="00A81EB5" w:rsidRPr="00DE1BD4" w:rsidRDefault="00793B19" w:rsidP="00793B19">
      <w:pPr>
        <w:jc w:val="center"/>
      </w:pPr>
      <w:r w:rsidRPr="00DE1BD4">
        <w:rPr>
          <w:noProof/>
        </w:rPr>
        <w:drawing>
          <wp:inline distT="0" distB="0" distL="0" distR="0" wp14:anchorId="1B93EE47" wp14:editId="3A4FE2DF">
            <wp:extent cx="5253896" cy="2043113"/>
            <wp:effectExtent l="0" t="0" r="4445" b="0"/>
            <wp:docPr id="1020739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39484" name="Picture 1" descr="A screenshot of a computer&#10;&#10;Description automatically generated"/>
                    <pic:cNvPicPr/>
                  </pic:nvPicPr>
                  <pic:blipFill>
                    <a:blip r:embed="rId43"/>
                    <a:stretch>
                      <a:fillRect/>
                    </a:stretch>
                  </pic:blipFill>
                  <pic:spPr>
                    <a:xfrm>
                      <a:off x="0" y="0"/>
                      <a:ext cx="5287735" cy="2056272"/>
                    </a:xfrm>
                    <a:prstGeom prst="rect">
                      <a:avLst/>
                    </a:prstGeom>
                  </pic:spPr>
                </pic:pic>
              </a:graphicData>
            </a:graphic>
          </wp:inline>
        </w:drawing>
      </w:r>
    </w:p>
    <w:p w14:paraId="31AACFA2" w14:textId="047E7939" w:rsidR="001E33B9" w:rsidRDefault="001E33B9" w:rsidP="00A46230">
      <w:pPr>
        <w:spacing w:line="256" w:lineRule="auto"/>
        <w:contextualSpacing/>
      </w:pPr>
      <w:r>
        <w:t xml:space="preserve">This is further articulated whereby </w:t>
      </w:r>
      <w:r w:rsidR="003F0889">
        <w:t>PURA</w:t>
      </w:r>
      <w:r>
        <w:t xml:space="preserve"> identify Emergency Frequency Allocations as per </w:t>
      </w:r>
      <w:r w:rsidR="00E731A3">
        <w:fldChar w:fldCharType="begin"/>
      </w:r>
      <w:r w:rsidR="00E731A3">
        <w:instrText xml:space="preserve"> REF _Ref174526354 \h </w:instrText>
      </w:r>
      <w:r w:rsidR="00E731A3">
        <w:fldChar w:fldCharType="separate"/>
      </w:r>
      <w:r w:rsidR="00096537">
        <w:t xml:space="preserve">Table </w:t>
      </w:r>
      <w:r w:rsidR="00096537">
        <w:rPr>
          <w:noProof/>
        </w:rPr>
        <w:t>7</w:t>
      </w:r>
      <w:r w:rsidR="00E731A3">
        <w:fldChar w:fldCharType="end"/>
      </w:r>
      <w:r w:rsidR="00E731A3">
        <w:t xml:space="preserve"> below.</w:t>
      </w:r>
    </w:p>
    <w:p w14:paraId="7992C1FF" w14:textId="3316C149" w:rsidR="001E33B9" w:rsidRDefault="001E33B9" w:rsidP="00CC6B6E">
      <w:pPr>
        <w:pStyle w:val="Caption"/>
        <w:spacing w:before="240"/>
        <w:jc w:val="center"/>
      </w:pPr>
      <w:bookmarkStart w:id="346" w:name="_Ref174526354"/>
      <w:bookmarkStart w:id="347" w:name="_Toc181885860"/>
      <w:r>
        <w:t xml:space="preserve">Table </w:t>
      </w:r>
      <w:r>
        <w:fldChar w:fldCharType="begin"/>
      </w:r>
      <w:r>
        <w:instrText xml:space="preserve"> SEQ Table \* ARABIC </w:instrText>
      </w:r>
      <w:r>
        <w:fldChar w:fldCharType="separate"/>
      </w:r>
      <w:r w:rsidR="00096537">
        <w:rPr>
          <w:noProof/>
        </w:rPr>
        <w:t>7</w:t>
      </w:r>
      <w:r>
        <w:fldChar w:fldCharType="end"/>
      </w:r>
      <w:bookmarkEnd w:id="346"/>
      <w:r>
        <w:t xml:space="preserve"> – Emergency Frequency Allocation</w:t>
      </w:r>
      <w:bookmarkEnd w:id="347"/>
    </w:p>
    <w:tbl>
      <w:tblPr>
        <w:tblStyle w:val="TableGrid"/>
        <w:tblW w:w="0" w:type="auto"/>
        <w:tblInd w:w="421" w:type="dxa"/>
        <w:tblLook w:val="04A0" w:firstRow="1" w:lastRow="0" w:firstColumn="1" w:lastColumn="0" w:noHBand="0" w:noVBand="1"/>
      </w:tblPr>
      <w:tblGrid>
        <w:gridCol w:w="3826"/>
        <w:gridCol w:w="3828"/>
      </w:tblGrid>
      <w:tr w:rsidR="001E33B9" w14:paraId="540BF874" w14:textId="77777777" w:rsidTr="00402F45">
        <w:tc>
          <w:tcPr>
            <w:tcW w:w="3826" w:type="dxa"/>
            <w:shd w:val="clear" w:color="auto" w:fill="0070C0"/>
          </w:tcPr>
          <w:p w14:paraId="6BD70F0F" w14:textId="1A040A8E" w:rsidR="001E33B9" w:rsidRPr="001079F3" w:rsidRDefault="001E33B9" w:rsidP="00CC6B6E">
            <w:pPr>
              <w:spacing w:line="256" w:lineRule="auto"/>
              <w:contextualSpacing/>
              <w:jc w:val="center"/>
              <w:rPr>
                <w:b/>
                <w:bCs/>
                <w:color w:val="FFFFFF" w:themeColor="background1"/>
              </w:rPr>
            </w:pPr>
            <w:r w:rsidRPr="001079F3">
              <w:rPr>
                <w:b/>
                <w:bCs/>
                <w:color w:val="FFFFFF" w:themeColor="background1"/>
              </w:rPr>
              <w:t>Frequency</w:t>
            </w:r>
          </w:p>
        </w:tc>
        <w:tc>
          <w:tcPr>
            <w:tcW w:w="3828" w:type="dxa"/>
            <w:shd w:val="clear" w:color="auto" w:fill="0070C0"/>
          </w:tcPr>
          <w:p w14:paraId="3469A5D7" w14:textId="25A5AD85" w:rsidR="001E33B9" w:rsidRPr="001079F3" w:rsidRDefault="00CC6B6E" w:rsidP="00CC6B6E">
            <w:pPr>
              <w:spacing w:line="256" w:lineRule="auto"/>
              <w:contextualSpacing/>
              <w:jc w:val="center"/>
              <w:rPr>
                <w:b/>
                <w:bCs/>
                <w:color w:val="FFFFFF" w:themeColor="background1"/>
              </w:rPr>
            </w:pPr>
            <w:r w:rsidRPr="001079F3">
              <w:rPr>
                <w:b/>
                <w:bCs/>
                <w:color w:val="FFFFFF" w:themeColor="background1"/>
              </w:rPr>
              <w:t>Allocation</w:t>
            </w:r>
          </w:p>
        </w:tc>
      </w:tr>
      <w:tr w:rsidR="001E33B9" w14:paraId="54707DF0" w14:textId="77777777" w:rsidTr="00402F45">
        <w:tc>
          <w:tcPr>
            <w:tcW w:w="3826" w:type="dxa"/>
          </w:tcPr>
          <w:p w14:paraId="6A4761B0" w14:textId="79894CB7" w:rsidR="001E33B9" w:rsidRDefault="00A67B09" w:rsidP="00A67B09">
            <w:pPr>
              <w:spacing w:line="256" w:lineRule="auto"/>
              <w:contextualSpacing/>
              <w:jc w:val="center"/>
            </w:pPr>
            <w:r>
              <w:t>TBA</w:t>
            </w:r>
          </w:p>
        </w:tc>
        <w:tc>
          <w:tcPr>
            <w:tcW w:w="3828" w:type="dxa"/>
          </w:tcPr>
          <w:p w14:paraId="4F7B9E30" w14:textId="686DCA22" w:rsidR="001E33B9" w:rsidRDefault="00A67B09" w:rsidP="00A67B09">
            <w:pPr>
              <w:spacing w:line="256" w:lineRule="auto"/>
              <w:contextualSpacing/>
              <w:jc w:val="center"/>
            </w:pPr>
            <w:r>
              <w:t>TBA</w:t>
            </w:r>
          </w:p>
        </w:tc>
      </w:tr>
    </w:tbl>
    <w:p w14:paraId="258017A7" w14:textId="77777777" w:rsidR="00F96B46" w:rsidRPr="00DE1BD4" w:rsidRDefault="00F96B46" w:rsidP="00F96B46">
      <w:pPr>
        <w:pStyle w:val="Heading3"/>
      </w:pPr>
      <w:bookmarkStart w:id="348" w:name="_Toc181885813"/>
      <w:bookmarkStart w:id="349" w:name="_Toc116559934"/>
      <w:r w:rsidRPr="00DE1BD4">
        <w:t>Models for Use of Frequencies for PPDR</w:t>
      </w:r>
      <w:bookmarkEnd w:id="348"/>
      <w:r w:rsidRPr="00DE1BD4">
        <w:t xml:space="preserve"> </w:t>
      </w:r>
      <w:bookmarkEnd w:id="349"/>
    </w:p>
    <w:p w14:paraId="3E182F98" w14:textId="157D26E1" w:rsidR="00F96B46" w:rsidRPr="00DE1BD4" w:rsidRDefault="00F96B46" w:rsidP="00F96B46">
      <w:r w:rsidRPr="00DE1BD4">
        <w:t xml:space="preserve">Many countries run national radio systems using the frequency ranges allocated for PPDR.  </w:t>
      </w:r>
      <w:r w:rsidR="00093A2F" w:rsidRPr="00DE1BD4">
        <w:t xml:space="preserve">There are many </w:t>
      </w:r>
      <w:r w:rsidRPr="00DE1BD4">
        <w:t xml:space="preserve">examples </w:t>
      </w:r>
      <w:r w:rsidR="00093A2F" w:rsidRPr="00DE1BD4">
        <w:t>(Great Britain, Europe, USA,</w:t>
      </w:r>
      <w:r w:rsidRPr="00DE1BD4">
        <w:t xml:space="preserve"> Australia and New Zealand</w:t>
      </w:r>
      <w:r w:rsidR="00093A2F" w:rsidRPr="00DE1BD4">
        <w:t>)</w:t>
      </w:r>
      <w:r w:rsidRPr="00DE1BD4">
        <w:t xml:space="preserve"> where national radio networks support the First Responder sector, enabling efficient communications between the various agencies concerned.</w:t>
      </w:r>
    </w:p>
    <w:p w14:paraId="40E6B076" w14:textId="77777777" w:rsidR="00F96B46" w:rsidRPr="00DE1BD4" w:rsidRDefault="00F96B46" w:rsidP="00F96B46">
      <w:r w:rsidRPr="00DE1BD4">
        <w:t>There are three models for PPDR using these frequencies</w:t>
      </w:r>
    </w:p>
    <w:p w14:paraId="6D0C7B54" w14:textId="77777777" w:rsidR="00F96B46" w:rsidRPr="00DE1BD4" w:rsidRDefault="00F96B46" w:rsidP="00F96B46">
      <w:pPr>
        <w:numPr>
          <w:ilvl w:val="0"/>
          <w:numId w:val="4"/>
        </w:numPr>
        <w:pBdr>
          <w:top w:val="nil"/>
          <w:left w:val="nil"/>
          <w:bottom w:val="nil"/>
          <w:right w:val="nil"/>
          <w:between w:val="nil"/>
        </w:pBdr>
        <w:spacing w:after="0" w:line="256" w:lineRule="auto"/>
      </w:pPr>
      <w:r w:rsidRPr="00DE1BD4">
        <w:rPr>
          <w:color w:val="000000"/>
        </w:rPr>
        <w:t>Model one: Exclusively public safety-dedicated network, with spectrum being used exclusively by public safety users.</w:t>
      </w:r>
    </w:p>
    <w:p w14:paraId="12E424E7" w14:textId="77777777" w:rsidR="00F96B46" w:rsidRPr="00DE1BD4" w:rsidRDefault="00F96B46" w:rsidP="00F96B46">
      <w:pPr>
        <w:numPr>
          <w:ilvl w:val="0"/>
          <w:numId w:val="4"/>
        </w:numPr>
        <w:pBdr>
          <w:top w:val="nil"/>
          <w:left w:val="nil"/>
          <w:bottom w:val="nil"/>
          <w:right w:val="nil"/>
          <w:between w:val="nil"/>
        </w:pBdr>
        <w:spacing w:after="0" w:line="256" w:lineRule="auto"/>
      </w:pPr>
      <w:r w:rsidRPr="00DE1BD4">
        <w:rPr>
          <w:color w:val="000000"/>
        </w:rPr>
        <w:t>Model two: Shared public safety and commercial network, with distinct public safety and commercial network cores, and priority access and pre-emption rights for public safety use during emergencies and other times of need.</w:t>
      </w:r>
    </w:p>
    <w:p w14:paraId="55686E3C" w14:textId="77777777" w:rsidR="00F96B46" w:rsidRPr="00DE1BD4" w:rsidRDefault="00F96B46" w:rsidP="00F96B46">
      <w:pPr>
        <w:numPr>
          <w:ilvl w:val="0"/>
          <w:numId w:val="4"/>
        </w:numPr>
        <w:pBdr>
          <w:top w:val="nil"/>
          <w:left w:val="nil"/>
          <w:bottom w:val="nil"/>
          <w:right w:val="nil"/>
          <w:between w:val="nil"/>
        </w:pBdr>
        <w:spacing w:line="256" w:lineRule="auto"/>
      </w:pPr>
      <w:r w:rsidRPr="00DE1BD4">
        <w:rPr>
          <w:color w:val="000000"/>
        </w:rPr>
        <w:t>Model three: Commercial network, i.e., public safety users obtain services from one or multiple commercial providers.</w:t>
      </w:r>
    </w:p>
    <w:p w14:paraId="2259D61B" w14:textId="77777777" w:rsidR="00F96B46" w:rsidRPr="00DE1BD4" w:rsidRDefault="00F96B46" w:rsidP="00F96B46">
      <w:r w:rsidRPr="00DE1BD4">
        <w:t xml:space="preserve">The model to be used should be based on a specific study for the country in which it is being built, and should include an analysis of the compliance of the following general principles: </w:t>
      </w:r>
    </w:p>
    <w:p w14:paraId="6B778945" w14:textId="77777777" w:rsidR="00F96B46" w:rsidRPr="00DE1BD4" w:rsidRDefault="00F96B46" w:rsidP="00F96B46">
      <w:pPr>
        <w:pStyle w:val="ListParagraph"/>
        <w:numPr>
          <w:ilvl w:val="0"/>
          <w:numId w:val="1"/>
        </w:numPr>
      </w:pPr>
      <w:r w:rsidRPr="00DE1BD4">
        <w:t>Interoperability: Allow first responders on the network to access other users, as authorized, from anywhere and at any time.</w:t>
      </w:r>
    </w:p>
    <w:p w14:paraId="63DA167F" w14:textId="77777777" w:rsidR="00F96B46" w:rsidRPr="00DE1BD4" w:rsidRDefault="00F96B46" w:rsidP="00F96B46">
      <w:pPr>
        <w:pStyle w:val="ListParagraph"/>
        <w:numPr>
          <w:ilvl w:val="0"/>
          <w:numId w:val="1"/>
        </w:numPr>
      </w:pPr>
      <w:r w:rsidRPr="00DE1BD4">
        <w:t>Permanent access: Allow first responders to have permanent, immediate, and uninterrupted access to the network.</w:t>
      </w:r>
    </w:p>
    <w:p w14:paraId="409DFED9" w14:textId="77777777" w:rsidR="00F96B46" w:rsidRPr="00DE1BD4" w:rsidRDefault="00F96B46" w:rsidP="00F96B46">
      <w:pPr>
        <w:pStyle w:val="ListParagraph"/>
        <w:numPr>
          <w:ilvl w:val="0"/>
          <w:numId w:val="1"/>
        </w:numPr>
      </w:pPr>
      <w:r w:rsidRPr="00DE1BD4">
        <w:t>Coverage: Provide access in uncovered urban, rural and remote areas.</w:t>
      </w:r>
    </w:p>
    <w:p w14:paraId="08469637" w14:textId="77777777" w:rsidR="00F96B46" w:rsidRPr="00DE1BD4" w:rsidRDefault="00F96B46" w:rsidP="00F96B46">
      <w:pPr>
        <w:pStyle w:val="ListParagraph"/>
        <w:numPr>
          <w:ilvl w:val="0"/>
          <w:numId w:val="1"/>
        </w:numPr>
      </w:pPr>
      <w:r w:rsidRPr="00DE1BD4">
        <w:t>Resilience: Be resilient and robust in meeting the access requirements mentioned above</w:t>
      </w:r>
      <w:r w:rsidRPr="00DE1BD4">
        <w:rPr>
          <w:rFonts w:ascii="Tahoma" w:hAnsi="Tahoma" w:cs="Tahoma"/>
        </w:rPr>
        <w:t>.</w:t>
      </w:r>
    </w:p>
    <w:p w14:paraId="16FD651E" w14:textId="77777777" w:rsidR="00F96B46" w:rsidRPr="00DE1BD4" w:rsidRDefault="00F96B46" w:rsidP="00F96B46">
      <w:pPr>
        <w:pStyle w:val="ListParagraph"/>
        <w:numPr>
          <w:ilvl w:val="0"/>
          <w:numId w:val="1"/>
        </w:numPr>
      </w:pPr>
      <w:r w:rsidRPr="00DE1BD4">
        <w:t>Provide mission critical services: Offer mission critical services to first responders, including data and video.</w:t>
      </w:r>
    </w:p>
    <w:p w14:paraId="121CFF07" w14:textId="77777777" w:rsidR="00F96B46" w:rsidRPr="00DE1BD4" w:rsidRDefault="00F96B46" w:rsidP="00F96B46">
      <w:pPr>
        <w:pStyle w:val="ListParagraph"/>
        <w:numPr>
          <w:ilvl w:val="0"/>
          <w:numId w:val="1"/>
        </w:numPr>
      </w:pPr>
      <w:r w:rsidRPr="00DE1BD4">
        <w:t xml:space="preserve">Security: Include network security mechanisms for information and data. </w:t>
      </w:r>
    </w:p>
    <w:p w14:paraId="7D705BD2" w14:textId="77777777" w:rsidR="00F96B46" w:rsidRPr="00DE1BD4" w:rsidRDefault="00F96B46" w:rsidP="00731ECE">
      <w:pPr>
        <w:pStyle w:val="ListParagraph"/>
        <w:numPr>
          <w:ilvl w:val="0"/>
          <w:numId w:val="18"/>
        </w:numPr>
      </w:pPr>
      <w:r w:rsidRPr="00DE1BD4">
        <w:t>Sustainability: Be friendly to the environment and establish resources to keep updated in the future, meeting the goals and needs required.</w:t>
      </w:r>
    </w:p>
    <w:p w14:paraId="5A7F94E7" w14:textId="77777777" w:rsidR="00F96B46" w:rsidRPr="00DE1BD4" w:rsidRDefault="00F96B46" w:rsidP="00731ECE">
      <w:pPr>
        <w:pStyle w:val="ListParagraph"/>
        <w:numPr>
          <w:ilvl w:val="0"/>
          <w:numId w:val="18"/>
        </w:numPr>
      </w:pPr>
      <w:r w:rsidRPr="00DE1BD4">
        <w:t xml:space="preserve">Accessibility: Be accessible to the entire community of first responders. </w:t>
      </w:r>
    </w:p>
    <w:p w14:paraId="75B8FF57" w14:textId="18BAD7F7" w:rsidR="00162FAF" w:rsidRPr="00DE1BD4" w:rsidRDefault="00F96B46" w:rsidP="00724A4C">
      <w:pPr>
        <w:pStyle w:val="ListParagraph"/>
        <w:numPr>
          <w:ilvl w:val="0"/>
          <w:numId w:val="1"/>
        </w:numPr>
      </w:pPr>
      <w:r w:rsidRPr="00DE1BD4">
        <w:t>Spectrum use: Use spectrum efficiently and effectively.</w:t>
      </w:r>
    </w:p>
    <w:p w14:paraId="48044F46" w14:textId="3AB2BAE7" w:rsidR="00BA5641" w:rsidRPr="00DE1BD4" w:rsidRDefault="001E16F8" w:rsidP="004A5742">
      <w:pPr>
        <w:pStyle w:val="Heading3"/>
      </w:pPr>
      <w:bookmarkStart w:id="350" w:name="_Toc181885814"/>
      <w:r w:rsidRPr="00DE1BD4">
        <w:t>Trunked</w:t>
      </w:r>
      <w:r w:rsidR="00BA5641" w:rsidRPr="00DE1BD4">
        <w:t xml:space="preserve"> Radio</w:t>
      </w:r>
      <w:bookmarkEnd w:id="350"/>
    </w:p>
    <w:p w14:paraId="33685C7B" w14:textId="7842781F" w:rsidR="00544D27" w:rsidRDefault="00760958" w:rsidP="009D1166">
      <w:pPr>
        <w:rPr>
          <w:rStyle w:val="normaltextrun"/>
          <w:rFonts w:asciiTheme="minorHAnsi" w:hAnsiTheme="minorHAnsi" w:cstheme="minorHAnsi"/>
          <w:color w:val="000000"/>
          <w:shd w:val="clear" w:color="auto" w:fill="FFFFFF"/>
        </w:rPr>
      </w:pPr>
      <w:r w:rsidRPr="00DE1BD4">
        <w:rPr>
          <w:rStyle w:val="normaltextrun"/>
          <w:rFonts w:asciiTheme="minorHAnsi" w:hAnsiTheme="minorHAnsi" w:cstheme="minorHAnsi"/>
          <w:color w:val="000000"/>
          <w:shd w:val="clear" w:color="auto" w:fill="FFFFFF"/>
        </w:rPr>
        <w:t xml:space="preserve">Trunked radio is </w:t>
      </w:r>
      <w:r w:rsidRPr="00B13CFA">
        <w:rPr>
          <w:rStyle w:val="normaltextrun"/>
          <w:rFonts w:asciiTheme="minorHAnsi" w:hAnsiTheme="minorHAnsi" w:cstheme="minorHAnsi"/>
          <w:color w:val="000000"/>
          <w:highlight w:val="yellow"/>
          <w:shd w:val="clear" w:color="auto" w:fill="FFFFFF"/>
        </w:rPr>
        <w:t>used</w:t>
      </w:r>
      <w:r w:rsidRPr="00DE1BD4">
        <w:rPr>
          <w:rStyle w:val="normaltextrun"/>
          <w:rFonts w:asciiTheme="minorHAnsi" w:hAnsiTheme="minorHAnsi" w:cstheme="minorHAnsi"/>
          <w:color w:val="000000"/>
          <w:shd w:val="clear" w:color="auto" w:fill="FFFFFF"/>
        </w:rPr>
        <w:t xml:space="preserve"> in </w:t>
      </w:r>
      <w:r w:rsidR="004C2758" w:rsidRPr="00DE1BD4">
        <w:rPr>
          <w:rStyle w:val="normaltextrun"/>
          <w:rFonts w:asciiTheme="minorHAnsi" w:hAnsiTheme="minorHAnsi" w:cstheme="minorHAnsi"/>
          <w:color w:val="000000"/>
          <w:shd w:val="clear" w:color="auto" w:fill="FFFFFF"/>
        </w:rPr>
        <w:t>T</w:t>
      </w:r>
      <w:r w:rsidR="00B13CFA">
        <w:rPr>
          <w:rStyle w:val="normaltextrun"/>
          <w:rFonts w:asciiTheme="minorHAnsi" w:hAnsiTheme="minorHAnsi" w:cstheme="minorHAnsi"/>
          <w:color w:val="000000"/>
          <w:shd w:val="clear" w:color="auto" w:fill="FFFFFF"/>
        </w:rPr>
        <w:t>he Gambia</w:t>
      </w:r>
      <w:r w:rsidRPr="00DE1BD4">
        <w:rPr>
          <w:rStyle w:val="normaltextrun"/>
          <w:rFonts w:asciiTheme="minorHAnsi" w:hAnsiTheme="minorHAnsi" w:cstheme="minorHAnsi"/>
          <w:color w:val="000000"/>
          <w:shd w:val="clear" w:color="auto" w:fill="FFFFFF"/>
        </w:rPr>
        <w:t xml:space="preserve"> by a variety of organisations, both government, private </w:t>
      </w:r>
      <w:r w:rsidR="00377601" w:rsidRPr="00DE1BD4">
        <w:rPr>
          <w:rStyle w:val="normaltextrun"/>
          <w:rFonts w:asciiTheme="minorHAnsi" w:hAnsiTheme="minorHAnsi" w:cstheme="minorHAnsi"/>
          <w:color w:val="000000"/>
          <w:shd w:val="clear" w:color="auto" w:fill="FFFFFF"/>
        </w:rPr>
        <w:t xml:space="preserve">and first responder agencies. </w:t>
      </w:r>
      <w:r w:rsidRPr="00DE1BD4">
        <w:rPr>
          <w:rStyle w:val="normaltextrun"/>
          <w:rFonts w:asciiTheme="minorHAnsi" w:hAnsiTheme="minorHAnsi" w:cstheme="minorHAnsi"/>
          <w:color w:val="000000"/>
          <w:shd w:val="clear" w:color="auto" w:fill="FFFFFF"/>
        </w:rPr>
        <w:t xml:space="preserve">All these systems are licensed under the appropriate rules and </w:t>
      </w:r>
      <w:r w:rsidR="0041683A" w:rsidRPr="00DE1BD4">
        <w:rPr>
          <w:rStyle w:val="normaltextrun"/>
          <w:rFonts w:asciiTheme="minorHAnsi" w:hAnsiTheme="minorHAnsi" w:cstheme="minorHAnsi"/>
          <w:color w:val="000000"/>
          <w:shd w:val="clear" w:color="auto" w:fill="FFFFFF"/>
        </w:rPr>
        <w:t>regulations</w:t>
      </w:r>
      <w:r w:rsidRPr="00DE1BD4">
        <w:rPr>
          <w:rStyle w:val="normaltextrun"/>
          <w:rFonts w:asciiTheme="minorHAnsi" w:hAnsiTheme="minorHAnsi" w:cstheme="minorHAnsi"/>
          <w:color w:val="000000"/>
          <w:shd w:val="clear" w:color="auto" w:fill="FFFFFF"/>
        </w:rPr>
        <w:t xml:space="preserve">.  It is possible that the models outlined </w:t>
      </w:r>
      <w:r w:rsidR="0041683A" w:rsidRPr="00DE1BD4">
        <w:rPr>
          <w:rStyle w:val="normaltextrun"/>
          <w:rFonts w:asciiTheme="minorHAnsi" w:hAnsiTheme="minorHAnsi" w:cstheme="minorHAnsi"/>
          <w:color w:val="000000"/>
          <w:shd w:val="clear" w:color="auto" w:fill="FFFFFF"/>
        </w:rPr>
        <w:t>above</w:t>
      </w:r>
      <w:r w:rsidRPr="00DE1BD4">
        <w:rPr>
          <w:rStyle w:val="normaltextrun"/>
          <w:rFonts w:asciiTheme="minorHAnsi" w:hAnsiTheme="minorHAnsi" w:cstheme="minorHAnsi"/>
          <w:color w:val="000000"/>
          <w:shd w:val="clear" w:color="auto" w:fill="FFFFFF"/>
        </w:rPr>
        <w:t xml:space="preserve"> could be put in place and provide an improved service to some of those agencies and enterprises that are utilizing </w:t>
      </w:r>
      <w:r w:rsidR="0041683A" w:rsidRPr="00DE1BD4">
        <w:rPr>
          <w:rStyle w:val="normaltextrun"/>
          <w:rFonts w:asciiTheme="minorHAnsi" w:hAnsiTheme="minorHAnsi" w:cstheme="minorHAnsi"/>
          <w:color w:val="000000"/>
          <w:shd w:val="clear" w:color="auto" w:fill="FFFFFF"/>
        </w:rPr>
        <w:t>self-built</w:t>
      </w:r>
      <w:r w:rsidR="004840D6" w:rsidRPr="00DE1BD4">
        <w:rPr>
          <w:rStyle w:val="normaltextrun"/>
          <w:rFonts w:asciiTheme="minorHAnsi" w:hAnsiTheme="minorHAnsi" w:cstheme="minorHAnsi"/>
          <w:color w:val="000000"/>
          <w:shd w:val="clear" w:color="auto" w:fill="FFFFFF"/>
        </w:rPr>
        <w:t xml:space="preserve"> and managed solutions, that may not be optimally designed</w:t>
      </w:r>
      <w:r w:rsidR="00377601" w:rsidRPr="00DE1BD4">
        <w:rPr>
          <w:rStyle w:val="normaltextrun"/>
          <w:rFonts w:asciiTheme="minorHAnsi" w:hAnsiTheme="minorHAnsi" w:cstheme="minorHAnsi"/>
          <w:color w:val="000000"/>
          <w:shd w:val="clear" w:color="auto" w:fill="FFFFFF"/>
        </w:rPr>
        <w:t xml:space="preserve">. </w:t>
      </w:r>
    </w:p>
    <w:p w14:paraId="35538473" w14:textId="0B3089DB" w:rsidR="004D1DE5" w:rsidRPr="00DE1BD4" w:rsidRDefault="004D1DE5" w:rsidP="004D1DE5">
      <w:pPr>
        <w:pStyle w:val="Heading2"/>
      </w:pPr>
      <w:bookmarkStart w:id="351" w:name="_Toc181885815"/>
      <w:bookmarkStart w:id="352" w:name="_Toc89608441"/>
      <w:bookmarkStart w:id="353" w:name="_Toc90826004"/>
      <w:bookmarkStart w:id="354" w:name="_Toc91172659"/>
      <w:bookmarkStart w:id="355" w:name="_Toc91185546"/>
      <w:bookmarkEnd w:id="264"/>
      <w:r w:rsidRPr="00DE1BD4">
        <w:t>Broadcast Services</w:t>
      </w:r>
      <w:bookmarkEnd w:id="351"/>
    </w:p>
    <w:p w14:paraId="3F059CE3" w14:textId="7C599785" w:rsidR="00E1759D" w:rsidRPr="00DE1BD4" w:rsidRDefault="00E1759D" w:rsidP="003F5696">
      <w:r w:rsidRPr="00DE1BD4">
        <w:t>Broadcast services</w:t>
      </w:r>
      <w:r w:rsidR="009D5EBE" w:rsidRPr="0045782B">
        <w:rPr>
          <w:rStyle w:val="FootnoteReference"/>
        </w:rPr>
        <w:footnoteReference w:id="98"/>
      </w:r>
      <w:r w:rsidRPr="00DE1BD4">
        <w:t xml:space="preserve"> in </w:t>
      </w:r>
      <w:r w:rsidR="00FE2611">
        <w:t>The Gambia</w:t>
      </w:r>
      <w:r w:rsidRPr="00DE1BD4">
        <w:t xml:space="preserve"> consist of:</w:t>
      </w:r>
    </w:p>
    <w:p w14:paraId="4C3AE432" w14:textId="6F357DC8" w:rsidR="00880F8C" w:rsidRPr="00226C8E" w:rsidRDefault="004E0F79" w:rsidP="00963CF3">
      <w:pPr>
        <w:pStyle w:val="ListParagraph"/>
        <w:numPr>
          <w:ilvl w:val="0"/>
          <w:numId w:val="25"/>
        </w:numPr>
      </w:pPr>
      <w:r w:rsidRPr="00226C8E">
        <w:t>One</w:t>
      </w:r>
      <w:r w:rsidR="00880F8C" w:rsidRPr="00226C8E">
        <w:t xml:space="preserve"> National broadcaster</w:t>
      </w:r>
      <w:r w:rsidR="00DD4EC0" w:rsidRPr="00226C8E">
        <w:t xml:space="preserve"> (TV and radio)</w:t>
      </w:r>
    </w:p>
    <w:p w14:paraId="68DAD900" w14:textId="128E2B90" w:rsidR="00A9171E" w:rsidRPr="00226C8E" w:rsidRDefault="00A9171E" w:rsidP="00963CF3">
      <w:pPr>
        <w:pStyle w:val="ListParagraph"/>
        <w:numPr>
          <w:ilvl w:val="0"/>
          <w:numId w:val="25"/>
        </w:numPr>
      </w:pPr>
      <w:r w:rsidRPr="00226C8E">
        <w:t>Multiple (</w:t>
      </w:r>
      <w:r w:rsidR="00527FEF">
        <w:t>4</w:t>
      </w:r>
      <w:r w:rsidRPr="00226C8E">
        <w:t xml:space="preserve">) free to air </w:t>
      </w:r>
      <w:r w:rsidR="00527FEF">
        <w:t xml:space="preserve">and subscription </w:t>
      </w:r>
      <w:r w:rsidRPr="00226C8E">
        <w:t>television stations</w:t>
      </w:r>
    </w:p>
    <w:p w14:paraId="0E4C7859" w14:textId="56D35439" w:rsidR="00E1759D" w:rsidRPr="00DE1BD4" w:rsidRDefault="00DD4EC0" w:rsidP="00963CF3">
      <w:pPr>
        <w:pStyle w:val="ListParagraph"/>
        <w:numPr>
          <w:ilvl w:val="0"/>
          <w:numId w:val="25"/>
        </w:numPr>
      </w:pPr>
      <w:r w:rsidRPr="00DE1BD4">
        <w:t xml:space="preserve">Numerous commercial </w:t>
      </w:r>
      <w:r w:rsidR="00481174">
        <w:t xml:space="preserve">(9) </w:t>
      </w:r>
      <w:r w:rsidRPr="00DE1BD4">
        <w:t xml:space="preserve">and community </w:t>
      </w:r>
      <w:r w:rsidR="00481174">
        <w:t xml:space="preserve">(38) </w:t>
      </w:r>
      <w:r w:rsidRPr="00DE1BD4">
        <w:t>radio</w:t>
      </w:r>
      <w:r w:rsidR="00BE63A9" w:rsidRPr="00DE1BD4">
        <w:t xml:space="preserve"> broadcasters</w:t>
      </w:r>
    </w:p>
    <w:p w14:paraId="49F58AAD" w14:textId="1A38C993" w:rsidR="00BC0502" w:rsidRPr="00DE1BD4" w:rsidRDefault="00987D30" w:rsidP="003F5696">
      <w:r>
        <w:t xml:space="preserve">A recent </w:t>
      </w:r>
      <w:r w:rsidR="000205A2">
        <w:t xml:space="preserve">report by </w:t>
      </w:r>
      <w:r w:rsidR="009E43C6">
        <w:t>UNESCO</w:t>
      </w:r>
      <w:r w:rsidR="00BC1EAE" w:rsidRPr="0045782B">
        <w:rPr>
          <w:rStyle w:val="FootnoteReference"/>
        </w:rPr>
        <w:footnoteReference w:id="99"/>
      </w:r>
      <w:r w:rsidR="000205A2">
        <w:t xml:space="preserve"> </w:t>
      </w:r>
      <w:r w:rsidR="00E7789C">
        <w:t xml:space="preserve">indicates that </w:t>
      </w:r>
      <w:r w:rsidR="00E72BEC">
        <w:t xml:space="preserve">for the marginalised population </w:t>
      </w:r>
      <w:r w:rsidR="001D516D">
        <w:t xml:space="preserve">the mobile phone </w:t>
      </w:r>
      <w:r w:rsidR="002B7D5E">
        <w:t>i</w:t>
      </w:r>
      <w:r w:rsidR="001D516D">
        <w:t>s</w:t>
      </w:r>
      <w:r w:rsidR="002B7D5E">
        <w:t xml:space="preserve"> </w:t>
      </w:r>
      <w:r w:rsidR="00B521B8">
        <w:t>a primary</w:t>
      </w:r>
      <w:r w:rsidR="001D516D">
        <w:t xml:space="preserve"> source of information</w:t>
      </w:r>
      <w:r w:rsidR="002B7D5E" w:rsidRPr="0045782B">
        <w:rPr>
          <w:rStyle w:val="FootnoteReference"/>
        </w:rPr>
        <w:footnoteReference w:id="100"/>
      </w:r>
      <w:r w:rsidR="00BC0502" w:rsidRPr="00DE1BD4">
        <w:t>.</w:t>
      </w:r>
      <w:r w:rsidR="00DF5EBC">
        <w:t xml:space="preserve"> </w:t>
      </w:r>
    </w:p>
    <w:p w14:paraId="47618DF6" w14:textId="1DF53402" w:rsidR="00D91258" w:rsidRPr="00DE1BD4" w:rsidRDefault="00D72384" w:rsidP="00C528FF">
      <w:pPr>
        <w:pStyle w:val="Heading2"/>
      </w:pPr>
      <w:bookmarkStart w:id="356" w:name="_Toc89608447"/>
      <w:bookmarkStart w:id="357" w:name="_Toc90825864"/>
      <w:bookmarkStart w:id="358" w:name="_Toc90826008"/>
      <w:bookmarkStart w:id="359" w:name="_Toc91172663"/>
      <w:bookmarkStart w:id="360" w:name="_Toc91185550"/>
      <w:bookmarkStart w:id="361" w:name="_Toc181885816"/>
      <w:bookmarkEnd w:id="352"/>
      <w:bookmarkEnd w:id="353"/>
      <w:bookmarkEnd w:id="354"/>
      <w:bookmarkEnd w:id="355"/>
      <w:r w:rsidRPr="00DE1BD4">
        <w:t>Other</w:t>
      </w:r>
      <w:r w:rsidR="00D91258" w:rsidRPr="00DE1BD4">
        <w:t xml:space="preserve"> Networks</w:t>
      </w:r>
      <w:bookmarkEnd w:id="356"/>
      <w:bookmarkEnd w:id="357"/>
      <w:bookmarkEnd w:id="358"/>
      <w:bookmarkEnd w:id="359"/>
      <w:bookmarkEnd w:id="360"/>
      <w:r w:rsidR="006D6DF1" w:rsidRPr="00DE1BD4">
        <w:t xml:space="preserve"> and Telecommunications Equipment</w:t>
      </w:r>
      <w:bookmarkEnd w:id="361"/>
    </w:p>
    <w:p w14:paraId="1F95C781" w14:textId="2BCD927D" w:rsidR="00BD5A52" w:rsidRPr="00DE1BD4" w:rsidRDefault="00D91258" w:rsidP="003B0961">
      <w:r w:rsidRPr="00DE1BD4">
        <w:t>Th</w:t>
      </w:r>
      <w:r w:rsidR="00EA69A0" w:rsidRPr="00DE1BD4">
        <w:t xml:space="preserve">ere </w:t>
      </w:r>
      <w:r w:rsidR="00E54DC4" w:rsidRPr="00DE1BD4">
        <w:t xml:space="preserve">may </w:t>
      </w:r>
      <w:r w:rsidRPr="00DE1BD4">
        <w:t xml:space="preserve">be </w:t>
      </w:r>
      <w:r w:rsidR="00E54DC4" w:rsidRPr="00DE1BD4">
        <w:t>m</w:t>
      </w:r>
      <w:r w:rsidRPr="00DE1BD4">
        <w:t>iscellaneous networks</w:t>
      </w:r>
      <w:r w:rsidR="00E54DC4" w:rsidRPr="00DE1BD4">
        <w:t xml:space="preserve"> or </w:t>
      </w:r>
      <w:r w:rsidR="00527644" w:rsidRPr="00DE1BD4">
        <w:t xml:space="preserve">telecommunications equipment other than those </w:t>
      </w:r>
      <w:r w:rsidR="003079D5" w:rsidRPr="00DE1BD4">
        <w:t>described in this document</w:t>
      </w:r>
      <w:r w:rsidRPr="00DE1BD4">
        <w:t xml:space="preserve">.  </w:t>
      </w:r>
      <w:r w:rsidR="00DB1D39" w:rsidRPr="00DE1BD4">
        <w:t>One</w:t>
      </w:r>
      <w:r w:rsidRPr="00DE1BD4">
        <w:t xml:space="preserve"> such area </w:t>
      </w:r>
      <w:r w:rsidR="00245238" w:rsidRPr="00DE1BD4">
        <w:t>for</w:t>
      </w:r>
      <w:r w:rsidRPr="00DE1BD4">
        <w:t xml:space="preserve"> further </w:t>
      </w:r>
      <w:r w:rsidR="00527644" w:rsidRPr="00DE1BD4">
        <w:t>investigation</w:t>
      </w:r>
      <w:r w:rsidRPr="00DE1BD4">
        <w:t xml:space="preserve"> is the use of VSAT services in</w:t>
      </w:r>
      <w:r w:rsidR="00534849" w:rsidRPr="00DE1BD4">
        <w:t xml:space="preserve"> universities and </w:t>
      </w:r>
      <w:r w:rsidRPr="00DE1BD4">
        <w:t>resort locations</w:t>
      </w:r>
      <w:r w:rsidR="00527644" w:rsidRPr="00DE1BD4">
        <w:t xml:space="preserve"> for example.  Another is to create</w:t>
      </w:r>
      <w:r w:rsidR="006D6DF1" w:rsidRPr="00DE1BD4">
        <w:t xml:space="preserve"> and maintain</w:t>
      </w:r>
      <w:r w:rsidR="00527644" w:rsidRPr="00DE1BD4">
        <w:t xml:space="preserve"> a register of organisations who </w:t>
      </w:r>
      <w:r w:rsidR="006D6DF1" w:rsidRPr="00DE1BD4">
        <w:t>have</w:t>
      </w:r>
      <w:r w:rsidR="00527644" w:rsidRPr="00DE1BD4">
        <w:t xml:space="preserve"> satellite phones.</w:t>
      </w:r>
    </w:p>
    <w:p w14:paraId="4CABA1D0" w14:textId="5A3CF58F" w:rsidR="00D72384" w:rsidRPr="00DE1BD4" w:rsidRDefault="00D72384" w:rsidP="00D72384">
      <w:pPr>
        <w:pStyle w:val="Heading3"/>
      </w:pPr>
      <w:bookmarkStart w:id="362" w:name="_Toc89608450"/>
      <w:bookmarkStart w:id="363" w:name="_Toc90826007"/>
      <w:bookmarkStart w:id="364" w:name="_Toc91172662"/>
      <w:bookmarkStart w:id="365" w:name="_Toc91185549"/>
      <w:bookmarkStart w:id="366" w:name="_Toc181885817"/>
      <w:r w:rsidRPr="00DE1BD4">
        <w:t>Humanitarian Networks</w:t>
      </w:r>
      <w:bookmarkEnd w:id="362"/>
      <w:bookmarkEnd w:id="363"/>
      <w:bookmarkEnd w:id="364"/>
      <w:bookmarkEnd w:id="365"/>
      <w:bookmarkEnd w:id="366"/>
    </w:p>
    <w:p w14:paraId="0267E132" w14:textId="52064D21" w:rsidR="00255366" w:rsidRDefault="00F8155E" w:rsidP="00534849">
      <w:r w:rsidRPr="00DE1BD4">
        <w:t xml:space="preserve">There </w:t>
      </w:r>
      <w:r w:rsidR="002D7475">
        <w:t xml:space="preserve">are existing </w:t>
      </w:r>
      <w:r w:rsidR="009C38B4">
        <w:t xml:space="preserve">humanitarian </w:t>
      </w:r>
      <w:r w:rsidR="009C38B4" w:rsidRPr="00DE1BD4">
        <w:t>telecommunications</w:t>
      </w:r>
      <w:r w:rsidR="002D7475">
        <w:t xml:space="preserve"> </w:t>
      </w:r>
      <w:r w:rsidR="009C38B4">
        <w:t>networks</w:t>
      </w:r>
      <w:r w:rsidR="002D7475">
        <w:t xml:space="preserve"> which include both radio</w:t>
      </w:r>
      <w:r w:rsidR="009C38B4">
        <w:t xml:space="preserve"> </w:t>
      </w:r>
      <w:r w:rsidR="002D7475">
        <w:t>and VSAT system</w:t>
      </w:r>
      <w:r w:rsidR="00255366">
        <w:t>s</w:t>
      </w:r>
      <w:r w:rsidR="00FA5297" w:rsidRPr="0045782B">
        <w:rPr>
          <w:rStyle w:val="FootnoteReference"/>
        </w:rPr>
        <w:footnoteReference w:id="101"/>
      </w:r>
      <w:r w:rsidR="00255366">
        <w:t>. All U</w:t>
      </w:r>
      <w:r w:rsidR="00D72384" w:rsidRPr="00DE1BD4">
        <w:t xml:space="preserve">N organisations </w:t>
      </w:r>
      <w:r w:rsidR="00850434" w:rsidRPr="00DE1BD4">
        <w:t>or other major humanitarian agenc</w:t>
      </w:r>
      <w:r w:rsidRPr="00DE1BD4">
        <w:t xml:space="preserve">y </w:t>
      </w:r>
      <w:r w:rsidR="00255366">
        <w:t>have access to a single VHF and HF radio systems, whilst the VSAT systems are shared across all agencies</w:t>
      </w:r>
      <w:r w:rsidR="00850434" w:rsidRPr="00DE1BD4">
        <w:t>.</w:t>
      </w:r>
    </w:p>
    <w:p w14:paraId="19CCF3E8" w14:textId="590EDBE1" w:rsidR="00255366" w:rsidRDefault="00255366" w:rsidP="00255366">
      <w:pPr>
        <w:pStyle w:val="Caption"/>
        <w:jc w:val="center"/>
      </w:pPr>
      <w:bookmarkStart w:id="367" w:name="_Toc181885861"/>
      <w:r>
        <w:t xml:space="preserve">Table </w:t>
      </w:r>
      <w:r>
        <w:fldChar w:fldCharType="begin"/>
      </w:r>
      <w:r>
        <w:instrText xml:space="preserve"> SEQ Table \* ARABIC </w:instrText>
      </w:r>
      <w:r>
        <w:fldChar w:fldCharType="separate"/>
      </w:r>
      <w:r w:rsidR="001317F1">
        <w:rPr>
          <w:noProof/>
        </w:rPr>
        <w:t>8</w:t>
      </w:r>
      <w:r>
        <w:fldChar w:fldCharType="end"/>
      </w:r>
      <w:r>
        <w:t xml:space="preserve"> - Humanitarian Networks</w:t>
      </w:r>
      <w:r w:rsidR="008A4CA7" w:rsidRPr="0045782B">
        <w:rPr>
          <w:rStyle w:val="FootnoteReference"/>
        </w:rPr>
        <w:footnoteReference w:id="102"/>
      </w:r>
      <w:bookmarkEnd w:id="367"/>
    </w:p>
    <w:p w14:paraId="53957BCB" w14:textId="2B1E2D88" w:rsidR="00944C28" w:rsidRPr="00DE1BD4" w:rsidRDefault="00255366" w:rsidP="00255366">
      <w:pPr>
        <w:jc w:val="center"/>
      </w:pPr>
      <w:bookmarkStart w:id="368" w:name="_Hlk116846236"/>
      <w:r w:rsidRPr="00255366">
        <w:rPr>
          <w:noProof/>
        </w:rPr>
        <w:drawing>
          <wp:inline distT="0" distB="0" distL="0" distR="0" wp14:anchorId="7D7802D1" wp14:editId="35620A5A">
            <wp:extent cx="5250692" cy="2724150"/>
            <wp:effectExtent l="0" t="0" r="7620" b="0"/>
            <wp:docPr id="140163287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32873" name="Picture 1" descr="A screen shot of a computer&#10;&#10;Description automatically generated"/>
                    <pic:cNvPicPr/>
                  </pic:nvPicPr>
                  <pic:blipFill>
                    <a:blip r:embed="rId44"/>
                    <a:stretch>
                      <a:fillRect/>
                    </a:stretch>
                  </pic:blipFill>
                  <pic:spPr>
                    <a:xfrm>
                      <a:off x="0" y="0"/>
                      <a:ext cx="5274336" cy="2736417"/>
                    </a:xfrm>
                    <a:prstGeom prst="rect">
                      <a:avLst/>
                    </a:prstGeom>
                  </pic:spPr>
                </pic:pic>
              </a:graphicData>
            </a:graphic>
          </wp:inline>
        </w:drawing>
      </w:r>
    </w:p>
    <w:p w14:paraId="544ED100" w14:textId="0084FF10" w:rsidR="00D72384" w:rsidRPr="00DE1BD4" w:rsidRDefault="00D72384" w:rsidP="00D72384">
      <w:pPr>
        <w:pStyle w:val="Heading3"/>
      </w:pPr>
      <w:bookmarkStart w:id="369" w:name="_Toc89608444"/>
      <w:bookmarkStart w:id="370" w:name="_Toc90826006"/>
      <w:bookmarkStart w:id="371" w:name="_Toc91172661"/>
      <w:bookmarkStart w:id="372" w:name="_Toc91185548"/>
      <w:bookmarkStart w:id="373" w:name="_Toc181885818"/>
      <w:bookmarkEnd w:id="368"/>
      <w:r w:rsidRPr="00DE1BD4">
        <w:t>Radio Amateurs</w:t>
      </w:r>
      <w:bookmarkEnd w:id="369"/>
      <w:bookmarkEnd w:id="370"/>
      <w:bookmarkEnd w:id="371"/>
      <w:bookmarkEnd w:id="372"/>
      <w:bookmarkEnd w:id="373"/>
      <w:r w:rsidRPr="00DE1BD4">
        <w:t xml:space="preserve"> </w:t>
      </w:r>
    </w:p>
    <w:p w14:paraId="6EB4E196" w14:textId="77777777" w:rsidR="00D72384" w:rsidRPr="00DE1BD4" w:rsidRDefault="00D72384" w:rsidP="00D72384">
      <w:r w:rsidRPr="00DE1BD4">
        <w:t>Countries should encourage use of amateur radio as a redundant means of communication when all other network infrastructures fail</w:t>
      </w:r>
      <w:r w:rsidRPr="0045782B">
        <w:rPr>
          <w:rStyle w:val="FootnoteReference"/>
        </w:rPr>
        <w:footnoteReference w:id="103"/>
      </w:r>
      <w:r w:rsidRPr="00DE1BD4">
        <w:t>.</w:t>
      </w:r>
    </w:p>
    <w:p w14:paraId="2C3F299C" w14:textId="1C183AE2" w:rsidR="00D72384" w:rsidRPr="00DE1BD4" w:rsidRDefault="00D72384" w:rsidP="00D72384">
      <w:r w:rsidRPr="00DE1BD4">
        <w:t>With a low-power high-frequency (HF) transceiver, a car battery, and wire for an antenna, a skilled amateur can establish communication from virtually anywhere using his or her knowledge of ionospheric propagation. At the local level, organized groups of amateurs are prepared to assist their communities using personally owned VHF and UHF equipment</w:t>
      </w:r>
      <w:r w:rsidRPr="0045782B">
        <w:rPr>
          <w:rStyle w:val="FootnoteReference"/>
        </w:rPr>
        <w:footnoteReference w:id="104"/>
      </w:r>
      <w:r w:rsidR="004723FE" w:rsidRPr="00DE1BD4">
        <w:t>.</w:t>
      </w:r>
    </w:p>
    <w:p w14:paraId="0E2C11BA" w14:textId="1ADACD8F" w:rsidR="00D72384" w:rsidRDefault="00D72384" w:rsidP="00D72384">
      <w:r w:rsidRPr="00DE1BD4">
        <w:t>The International Amateur Radio Union</w:t>
      </w:r>
      <w:r w:rsidR="00B7670E" w:rsidRPr="00DE1BD4">
        <w:t xml:space="preserve"> (IARU)</w:t>
      </w:r>
      <w:r w:rsidRPr="00DE1BD4">
        <w:t xml:space="preserve"> provides an Emergency Communications Training Guide to help amateur radio societies train their members to participate in emergency events</w:t>
      </w:r>
      <w:r w:rsidRPr="0045782B">
        <w:rPr>
          <w:rStyle w:val="FootnoteReference"/>
        </w:rPr>
        <w:footnoteReference w:id="105"/>
      </w:r>
      <w:r w:rsidR="00F8155E" w:rsidRPr="00DE1BD4">
        <w:t>.</w:t>
      </w:r>
    </w:p>
    <w:p w14:paraId="71F04D24" w14:textId="0CF3C7FE" w:rsidR="00A26BCD" w:rsidRDefault="00E91F7B" w:rsidP="00A26BCD">
      <w:r>
        <w:t>T</w:t>
      </w:r>
      <w:r w:rsidR="00531B85">
        <w:t xml:space="preserve">he Gambia does not </w:t>
      </w:r>
      <w:r w:rsidR="00A26BCD">
        <w:t xml:space="preserve">appear to have </w:t>
      </w:r>
      <w:r w:rsidR="00A77EB2">
        <w:t xml:space="preserve">active </w:t>
      </w:r>
      <w:r w:rsidR="00A26BCD">
        <w:t>amateur radio operators</w:t>
      </w:r>
      <w:r w:rsidR="00A77EB2">
        <w:t xml:space="preserve">. There is </w:t>
      </w:r>
      <w:r w:rsidR="008B0A35">
        <w:t xml:space="preserve">evidence of an amateur society known as </w:t>
      </w:r>
      <w:r w:rsidR="00E84FFD">
        <w:t>the Radio Society of The Gambia (RSTG</w:t>
      </w:r>
      <w:proofErr w:type="gramStart"/>
      <w:r w:rsidR="00E84FFD">
        <w:t>)</w:t>
      </w:r>
      <w:r w:rsidR="00A26BCD">
        <w:t>,</w:t>
      </w:r>
      <w:proofErr w:type="gramEnd"/>
      <w:r w:rsidR="00A26BCD">
        <w:t xml:space="preserve"> however, this group appears to be inactive and would need further investigation into its operation.</w:t>
      </w:r>
      <w:r w:rsidR="00A26BCD" w:rsidRPr="00A26BCD">
        <w:t xml:space="preserve"> </w:t>
      </w:r>
      <w:r w:rsidR="00E84FFD">
        <w:t>RSTG</w:t>
      </w:r>
      <w:r w:rsidR="00A26BCD" w:rsidRPr="00DE1BD4">
        <w:t xml:space="preserve"> is the National Member Society representing </w:t>
      </w:r>
      <w:r w:rsidR="00FE2611">
        <w:t>The Gambia</w:t>
      </w:r>
      <w:r w:rsidR="00A26BCD" w:rsidRPr="00DE1BD4">
        <w:t xml:space="preserve"> in the I</w:t>
      </w:r>
      <w:r w:rsidR="004976AA">
        <w:t>ARU</w:t>
      </w:r>
      <w:r w:rsidR="00A029DB" w:rsidRPr="0045782B">
        <w:rPr>
          <w:rStyle w:val="FootnoteReference"/>
        </w:rPr>
        <w:footnoteReference w:id="106"/>
      </w:r>
      <w:r w:rsidR="00A26BCD" w:rsidRPr="00DE1BD4">
        <w:t>.</w:t>
      </w:r>
    </w:p>
    <w:p w14:paraId="30ABAB70" w14:textId="1C24D137" w:rsidR="00475AD8" w:rsidRPr="00DE1BD4" w:rsidRDefault="004840D6" w:rsidP="00475AD8">
      <w:pPr>
        <w:rPr>
          <w:b/>
        </w:rPr>
      </w:pPr>
      <w:r w:rsidRPr="00DE1BD4">
        <w:rPr>
          <w:b/>
        </w:rPr>
        <w:t xml:space="preserve">Implementation Task </w:t>
      </w:r>
      <w:r w:rsidR="008F6309" w:rsidRPr="00DE1BD4">
        <w:rPr>
          <w:b/>
        </w:rPr>
        <w:t>6</w:t>
      </w:r>
      <w:r w:rsidR="00475AD8" w:rsidRPr="00DE1BD4">
        <w:rPr>
          <w:b/>
        </w:rPr>
        <w:t>:</w:t>
      </w:r>
    </w:p>
    <w:p w14:paraId="50E1CD77" w14:textId="6BFCEB4E" w:rsidR="00DF55CD" w:rsidRPr="00DE1BD4" w:rsidRDefault="009609FC" w:rsidP="00475AD8">
      <w:pPr>
        <w:rPr>
          <w:i/>
          <w:iCs/>
        </w:rPr>
      </w:pPr>
      <w:r w:rsidRPr="00B521B8">
        <w:rPr>
          <w:i/>
          <w:iCs/>
          <w:highlight w:val="yellow"/>
        </w:rPr>
        <w:t xml:space="preserve">An </w:t>
      </w:r>
      <w:r w:rsidR="00E078A2" w:rsidRPr="00B521B8">
        <w:rPr>
          <w:i/>
          <w:iCs/>
          <w:highlight w:val="yellow"/>
        </w:rPr>
        <w:t>u</w:t>
      </w:r>
      <w:r w:rsidR="00E078A2" w:rsidRPr="00DE1BD4">
        <w:rPr>
          <w:i/>
          <w:iCs/>
        </w:rPr>
        <w:t>p-to-date</w:t>
      </w:r>
      <w:r w:rsidRPr="00DE1BD4">
        <w:rPr>
          <w:i/>
          <w:iCs/>
        </w:rPr>
        <w:t xml:space="preserve"> repository of critical infrastructure is important in a disaster situation. Whilst this information does not have to be held by </w:t>
      </w:r>
      <w:r w:rsidR="00B521B8">
        <w:rPr>
          <w:i/>
          <w:iCs/>
        </w:rPr>
        <w:t>PURA</w:t>
      </w:r>
      <w:r w:rsidRPr="00DE1BD4">
        <w:rPr>
          <w:i/>
          <w:iCs/>
        </w:rPr>
        <w:t xml:space="preserve">, there must be confirmation that the information is available, regularly updated and can be accessed when required. </w:t>
      </w:r>
      <w:r w:rsidR="00E078A2" w:rsidRPr="00DE1BD4">
        <w:rPr>
          <w:i/>
          <w:iCs/>
        </w:rPr>
        <w:t>Therefore,</w:t>
      </w:r>
      <w:r w:rsidR="00DF55CD" w:rsidRPr="00DE1BD4">
        <w:rPr>
          <w:i/>
          <w:iCs/>
        </w:rPr>
        <w:t xml:space="preserve"> </w:t>
      </w:r>
      <w:r w:rsidR="00B521B8">
        <w:rPr>
          <w:i/>
          <w:iCs/>
        </w:rPr>
        <w:t>PURA</w:t>
      </w:r>
      <w:r w:rsidR="00DF55CD" w:rsidRPr="00DE1BD4">
        <w:rPr>
          <w:i/>
          <w:iCs/>
        </w:rPr>
        <w:t xml:space="preserve"> should put in place a methodology to regularly review </w:t>
      </w:r>
      <w:r w:rsidR="00305883" w:rsidRPr="00DE1BD4">
        <w:rPr>
          <w:i/>
          <w:iCs/>
        </w:rPr>
        <w:t xml:space="preserve">the network inventory and coverage of mobile and fixed telecom/ICT operators, and radio and television broadcasting. </w:t>
      </w:r>
    </w:p>
    <w:p w14:paraId="16FA34F5" w14:textId="7F61BFAF" w:rsidR="003603EC" w:rsidRPr="00DE1BD4" w:rsidRDefault="003603EC" w:rsidP="003603EC">
      <w:pPr>
        <w:rPr>
          <w:rFonts w:asciiTheme="minorHAnsi" w:eastAsiaTheme="minorHAnsi" w:hAnsiTheme="minorHAnsi" w:cstheme="minorBidi"/>
          <w:i/>
          <w:iCs/>
          <w:lang w:eastAsia="en-US"/>
        </w:rPr>
      </w:pPr>
      <w:r w:rsidRPr="00DE1BD4">
        <w:rPr>
          <w:i/>
          <w:iCs/>
        </w:rPr>
        <w:t xml:space="preserve">All telecom/ICT service operators, mobile, fixed, and radio and television broadcasting operators, as well as government networks, in conjunction with the </w:t>
      </w:r>
      <w:r w:rsidR="00B521B8">
        <w:rPr>
          <w:i/>
          <w:iCs/>
        </w:rPr>
        <w:t>PURA</w:t>
      </w:r>
      <w:r w:rsidRPr="00DE1BD4">
        <w:rPr>
          <w:i/>
          <w:iCs/>
        </w:rPr>
        <w:t xml:space="preserve">, should develop (or update) and present for </w:t>
      </w:r>
      <w:r w:rsidRPr="0056048D">
        <w:rPr>
          <w:i/>
          <w:iCs/>
        </w:rPr>
        <w:t xml:space="preserve">approval to the </w:t>
      </w:r>
      <w:r w:rsidR="006F3F57">
        <w:rPr>
          <w:i/>
          <w:iCs/>
        </w:rPr>
        <w:t>NDMO</w:t>
      </w:r>
      <w:r w:rsidRPr="0056048D">
        <w:rPr>
          <w:i/>
          <w:iCs/>
        </w:rPr>
        <w:t xml:space="preserve"> a vulnerability analysis</w:t>
      </w:r>
      <w:r w:rsidRPr="00DE1BD4">
        <w:rPr>
          <w:i/>
          <w:iCs/>
        </w:rPr>
        <w:t xml:space="preserve"> of the critical infrastructure of their networks, including an inventory of the infrastructure, and power, maintenance and connectivity evaluations along with consideration of the risks associated with cyber security.</w:t>
      </w:r>
    </w:p>
    <w:p w14:paraId="33445BCE" w14:textId="49892979" w:rsidR="00472B0E" w:rsidRPr="00DE1BD4" w:rsidRDefault="006F3F57" w:rsidP="00475AD8">
      <w:pPr>
        <w:rPr>
          <w:i/>
          <w:iCs/>
        </w:rPr>
      </w:pPr>
      <w:r>
        <w:rPr>
          <w:i/>
          <w:iCs/>
        </w:rPr>
        <w:t>PURA</w:t>
      </w:r>
      <w:r w:rsidR="00DF55CD" w:rsidRPr="00DE1BD4">
        <w:rPr>
          <w:i/>
          <w:iCs/>
        </w:rPr>
        <w:t xml:space="preserve"> should a</w:t>
      </w:r>
      <w:r w:rsidR="00305883" w:rsidRPr="00DE1BD4">
        <w:rPr>
          <w:i/>
          <w:iCs/>
        </w:rPr>
        <w:t xml:space="preserve">lso, maintain an updated database with the focal points in charge of technical aspects as well as with those in charge of communication of alerts and relevant information regarding disasters. Include network information and coverage of radio amateurs and first responders (police, firefighters, etc.) and identify any gaps. </w:t>
      </w:r>
    </w:p>
    <w:p w14:paraId="7DEE4C9D" w14:textId="5D47A060" w:rsidR="00305883" w:rsidRPr="00DE1BD4" w:rsidRDefault="006F3F57" w:rsidP="00475AD8">
      <w:pPr>
        <w:rPr>
          <w:b/>
        </w:rPr>
      </w:pPr>
      <w:r>
        <w:rPr>
          <w:i/>
          <w:iCs/>
        </w:rPr>
        <w:t>PURA</w:t>
      </w:r>
      <w:r w:rsidR="00472B0E" w:rsidRPr="00DE1BD4">
        <w:rPr>
          <w:i/>
          <w:iCs/>
        </w:rPr>
        <w:t xml:space="preserve"> should also consider the a</w:t>
      </w:r>
      <w:r w:rsidR="00305883" w:rsidRPr="00DE1BD4">
        <w:rPr>
          <w:i/>
          <w:iCs/>
        </w:rPr>
        <w:t>ssess</w:t>
      </w:r>
      <w:r w:rsidR="00472B0E" w:rsidRPr="00DE1BD4">
        <w:rPr>
          <w:i/>
          <w:iCs/>
        </w:rPr>
        <w:t xml:space="preserve">ment of </w:t>
      </w:r>
      <w:r w:rsidR="00305883" w:rsidRPr="00DE1BD4">
        <w:rPr>
          <w:i/>
          <w:iCs/>
        </w:rPr>
        <w:t>the implementation of other options on telecom/ICT infrastructure, such as including satellite devices for voice/broadband communications</w:t>
      </w:r>
      <w:r w:rsidR="00E078A2" w:rsidRPr="00DE1BD4">
        <w:rPr>
          <w:i/>
          <w:iCs/>
        </w:rPr>
        <w:t>, academic networks</w:t>
      </w:r>
      <w:r w:rsidR="00305883" w:rsidRPr="00DE1BD4">
        <w:rPr>
          <w:i/>
          <w:iCs/>
        </w:rPr>
        <w:t xml:space="preserve"> and community </w:t>
      </w:r>
      <w:proofErr w:type="spellStart"/>
      <w:r w:rsidR="00305883" w:rsidRPr="00DE1BD4">
        <w:rPr>
          <w:i/>
          <w:iCs/>
        </w:rPr>
        <w:t>WiFi</w:t>
      </w:r>
      <w:proofErr w:type="spellEnd"/>
      <w:r w:rsidR="00305883" w:rsidRPr="00DE1BD4">
        <w:rPr>
          <w:i/>
          <w:iCs/>
        </w:rPr>
        <w:t xml:space="preserve"> to strengthen emergency response and recovery activities</w:t>
      </w:r>
    </w:p>
    <w:p w14:paraId="42760077" w14:textId="44DCA547" w:rsidR="00475AD8" w:rsidRPr="00DE1BD4" w:rsidRDefault="00475AD8" w:rsidP="00475AD8">
      <w:pPr>
        <w:rPr>
          <w:i/>
          <w:iCs/>
        </w:rPr>
      </w:pPr>
      <w:r w:rsidRPr="00DE1BD4">
        <w:rPr>
          <w:i/>
          <w:iCs/>
        </w:rPr>
        <w:t>Information should be confirmed on VSAT capability in the country, including those systems already in situ and systems in storage for use as required.</w:t>
      </w:r>
    </w:p>
    <w:p w14:paraId="501A141B" w14:textId="6DDD4B26" w:rsidR="00475AD8" w:rsidRPr="00DE1BD4" w:rsidRDefault="007D1241" w:rsidP="00475AD8">
      <w:pPr>
        <w:rPr>
          <w:i/>
          <w:iCs/>
        </w:rPr>
      </w:pPr>
      <w:r w:rsidRPr="00DE1BD4">
        <w:rPr>
          <w:i/>
          <w:iCs/>
        </w:rPr>
        <w:t xml:space="preserve">Coverage maps of all mobile network operators should be reviewed and updated accordingly. </w:t>
      </w:r>
      <w:r w:rsidR="00E078A2" w:rsidRPr="00DE1BD4">
        <w:rPr>
          <w:i/>
          <w:iCs/>
        </w:rPr>
        <w:t xml:space="preserve">Coverage maps should be easily available to the public for information purposes and should be available </w:t>
      </w:r>
      <w:r w:rsidRPr="00DE1BD4">
        <w:rPr>
          <w:i/>
          <w:iCs/>
        </w:rPr>
        <w:t>a</w:t>
      </w:r>
      <w:r w:rsidR="00E078A2" w:rsidRPr="00DE1BD4">
        <w:rPr>
          <w:i/>
          <w:iCs/>
        </w:rPr>
        <w:t>t a detailed level on an as-required basis.</w:t>
      </w:r>
    </w:p>
    <w:p w14:paraId="61ACE4ED" w14:textId="1F4C7F6D" w:rsidR="00475AD8" w:rsidRPr="00DE1BD4" w:rsidRDefault="00475AD8" w:rsidP="00475AD8">
      <w:pPr>
        <w:rPr>
          <w:rStyle w:val="normaltextrun"/>
          <w:rFonts w:cstheme="minorHAnsi"/>
          <w:i/>
          <w:iCs/>
        </w:rPr>
      </w:pPr>
      <w:bookmarkStart w:id="374" w:name="_Ref90626391"/>
      <w:bookmarkStart w:id="375" w:name="_Ref90626424"/>
      <w:bookmarkStart w:id="376" w:name="_Ref90626432"/>
      <w:r w:rsidRPr="00DE1BD4">
        <w:rPr>
          <w:rStyle w:val="normaltextrun"/>
          <w:rFonts w:cstheme="minorHAnsi"/>
          <w:i/>
          <w:iCs/>
        </w:rPr>
        <w:t xml:space="preserve">. </w:t>
      </w:r>
    </w:p>
    <w:p w14:paraId="5CFA4366" w14:textId="375A00AE" w:rsidR="00F2242C" w:rsidRPr="00DE1BD4" w:rsidRDefault="00F2242C" w:rsidP="001D187F">
      <w:pPr>
        <w:rPr>
          <w:rFonts w:cstheme="minorHAnsi"/>
        </w:rPr>
      </w:pPr>
      <w:r w:rsidRPr="00DE1BD4">
        <w:br w:type="page"/>
      </w:r>
    </w:p>
    <w:p w14:paraId="2F133642" w14:textId="568491B5" w:rsidR="00BF2580" w:rsidRPr="00DE1BD4" w:rsidRDefault="00841FA1" w:rsidP="00CD7755">
      <w:pPr>
        <w:pStyle w:val="Heading1"/>
      </w:pPr>
      <w:bookmarkStart w:id="377" w:name="_Toc90825896"/>
      <w:bookmarkStart w:id="378" w:name="_Toc90826017"/>
      <w:bookmarkStart w:id="379" w:name="_Toc91172672"/>
      <w:bookmarkStart w:id="380" w:name="_Toc91185559"/>
      <w:bookmarkStart w:id="381" w:name="_Toc181885819"/>
      <w:r w:rsidRPr="00DE1BD4">
        <w:t>International Cooperation</w:t>
      </w:r>
      <w:bookmarkEnd w:id="374"/>
      <w:bookmarkEnd w:id="375"/>
      <w:bookmarkEnd w:id="376"/>
      <w:bookmarkEnd w:id="377"/>
      <w:bookmarkEnd w:id="378"/>
      <w:bookmarkEnd w:id="379"/>
      <w:bookmarkEnd w:id="380"/>
      <w:bookmarkEnd w:id="381"/>
    </w:p>
    <w:p w14:paraId="3AE915B8" w14:textId="01DC16B3" w:rsidR="00963CF3" w:rsidRPr="00DE1BD4" w:rsidRDefault="00963CF3" w:rsidP="00963CF3">
      <w:pPr>
        <w:rPr>
          <w:i/>
          <w:iCs/>
        </w:rPr>
      </w:pPr>
      <w:r>
        <w:rPr>
          <w:i/>
          <w:iCs/>
        </w:rPr>
        <w:t>Countries</w:t>
      </w:r>
      <w:r w:rsidR="00FA3131" w:rsidRPr="00DE1BD4">
        <w:rPr>
          <w:i/>
          <w:iCs/>
        </w:rPr>
        <w:t xml:space="preserve"> that are not signatory to the Tampere Convention should initiate the process to become part of i</w:t>
      </w:r>
      <w:r>
        <w:rPr>
          <w:i/>
          <w:iCs/>
        </w:rPr>
        <w:t>t.</w:t>
      </w:r>
    </w:p>
    <w:p w14:paraId="69FED2CE" w14:textId="77777777" w:rsidR="002160E7" w:rsidRPr="002160E7" w:rsidRDefault="002160E7" w:rsidP="002160E7">
      <w:pPr>
        <w:jc w:val="center"/>
        <w:rPr>
          <w:b/>
          <w:bCs/>
        </w:rPr>
      </w:pPr>
      <w:r w:rsidRPr="002160E7">
        <w:rPr>
          <w:b/>
          <w:bCs/>
          <w:highlight w:val="yellow"/>
        </w:rPr>
        <w:t>To be updated following stakeholder consultation</w:t>
      </w:r>
    </w:p>
    <w:p w14:paraId="6ECACE8D" w14:textId="1380DCB2" w:rsidR="00AB1F8A" w:rsidRPr="00DE1BD4" w:rsidRDefault="00960502" w:rsidP="00830157">
      <w:r w:rsidRPr="00DE1BD4">
        <w:t>T</w:t>
      </w:r>
      <w:r w:rsidR="00B62C93">
        <w:t>he Gambia</w:t>
      </w:r>
      <w:r w:rsidR="00AB1F8A" w:rsidRPr="00DE1BD4">
        <w:t xml:space="preserve"> is </w:t>
      </w:r>
      <w:r w:rsidR="00D255EC" w:rsidRPr="00DE1BD4">
        <w:t xml:space="preserve">not a signatory to the Tampere Convention. However, the country is </w:t>
      </w:r>
      <w:r w:rsidR="0079375B" w:rsidRPr="00DE1BD4">
        <w:t xml:space="preserve">a </w:t>
      </w:r>
      <w:r w:rsidR="00AB1F8A" w:rsidRPr="00DE1BD4">
        <w:t>signatory to</w:t>
      </w:r>
      <w:r w:rsidR="009D5950" w:rsidRPr="00DE1BD4">
        <w:t xml:space="preserve">, member of, or </w:t>
      </w:r>
      <w:r w:rsidR="00B86C70" w:rsidRPr="00DE1BD4">
        <w:t xml:space="preserve">potential </w:t>
      </w:r>
      <w:r w:rsidR="009D5950" w:rsidRPr="00DE1BD4">
        <w:t>beneficiary</w:t>
      </w:r>
      <w:r w:rsidR="001B7720" w:rsidRPr="00DE1BD4">
        <w:t xml:space="preserve"> of</w:t>
      </w:r>
      <w:r w:rsidR="00AB1F8A" w:rsidRPr="00DE1BD4">
        <w:t xml:space="preserve"> </w:t>
      </w:r>
      <w:r w:rsidR="00E4775D" w:rsidRPr="00DE1BD4">
        <w:t>numerous</w:t>
      </w:r>
      <w:r w:rsidR="00AB1F8A" w:rsidRPr="00DE1BD4">
        <w:t xml:space="preserve"> regional and international treaties, conventions or agreements that have the purpose of reducing the effects of disasters, as well as preparing, responding </w:t>
      </w:r>
      <w:r w:rsidR="0079375B" w:rsidRPr="00DE1BD4">
        <w:t xml:space="preserve">to </w:t>
      </w:r>
      <w:r w:rsidR="00AB1F8A" w:rsidRPr="00DE1BD4">
        <w:t xml:space="preserve">and recovering from emergency situations. </w:t>
      </w:r>
      <w:r w:rsidR="001B7720" w:rsidRPr="00DE1BD4">
        <w:t xml:space="preserve">Some of </w:t>
      </w:r>
      <w:r w:rsidR="00A22C40" w:rsidRPr="00DE1BD4">
        <w:t>these</w:t>
      </w:r>
      <w:r w:rsidR="00AB1F8A" w:rsidRPr="00DE1BD4">
        <w:t xml:space="preserve"> are presented below.</w:t>
      </w:r>
    </w:p>
    <w:p w14:paraId="249563A3" w14:textId="77777777" w:rsidR="006870BD" w:rsidRPr="00DE1BD4" w:rsidRDefault="006870BD" w:rsidP="006870BD">
      <w:pPr>
        <w:pStyle w:val="Heading2"/>
      </w:pPr>
      <w:bookmarkStart w:id="382" w:name="_1baon6m"/>
      <w:bookmarkStart w:id="383" w:name="_Ref90484343"/>
      <w:bookmarkStart w:id="384" w:name="_Ref90484376"/>
      <w:bookmarkStart w:id="385" w:name="_Ref90484393"/>
      <w:bookmarkStart w:id="386" w:name="_Ref90484432"/>
      <w:bookmarkStart w:id="387" w:name="_Toc90825903"/>
      <w:bookmarkStart w:id="388" w:name="_Toc90826025"/>
      <w:bookmarkStart w:id="389" w:name="_Toc91172680"/>
      <w:bookmarkStart w:id="390" w:name="_Toc91185567"/>
      <w:bookmarkStart w:id="391" w:name="_Toc181885820"/>
      <w:bookmarkStart w:id="392" w:name="_Toc36194984"/>
      <w:bookmarkStart w:id="393" w:name="_Toc90825897"/>
      <w:bookmarkStart w:id="394" w:name="_Toc90826018"/>
      <w:bookmarkStart w:id="395" w:name="_Toc91172673"/>
      <w:bookmarkStart w:id="396" w:name="_Toc91185560"/>
      <w:bookmarkEnd w:id="382"/>
      <w:r w:rsidRPr="00DE1BD4">
        <w:t>Tampere Convention</w:t>
      </w:r>
      <w:bookmarkEnd w:id="383"/>
      <w:bookmarkEnd w:id="384"/>
      <w:bookmarkEnd w:id="385"/>
      <w:bookmarkEnd w:id="386"/>
      <w:bookmarkEnd w:id="387"/>
      <w:bookmarkEnd w:id="388"/>
      <w:bookmarkEnd w:id="389"/>
      <w:bookmarkEnd w:id="390"/>
      <w:bookmarkEnd w:id="391"/>
    </w:p>
    <w:p w14:paraId="121C3A89" w14:textId="30680F63" w:rsidR="006870BD" w:rsidRPr="00DE1BD4" w:rsidRDefault="006870BD" w:rsidP="006870BD">
      <w:r w:rsidRPr="00DE1BD4">
        <w:t>The Tampere Convention on the Provision of Telecommunications Resources for Disaster Mitigation and Relief Operation</w:t>
      </w:r>
      <w:r w:rsidR="00D652BC">
        <w:t>s</w:t>
      </w:r>
      <w:r w:rsidR="001A4DB0" w:rsidRPr="0045782B">
        <w:rPr>
          <w:rStyle w:val="FootnoteReference"/>
        </w:rPr>
        <w:footnoteReference w:id="107"/>
      </w:r>
      <w:r w:rsidR="001A4DB0" w:rsidRPr="00DE1BD4">
        <w:t xml:space="preserve"> </w:t>
      </w:r>
      <w:r w:rsidRPr="00DE1BD4">
        <w:t xml:space="preserve">calls on states to facilitate the provision of telecommunications assistance to mitigate the impact of a disaster. </w:t>
      </w:r>
    </w:p>
    <w:p w14:paraId="3B562B01" w14:textId="3CB93FD7" w:rsidR="006870BD" w:rsidRPr="00DE1BD4" w:rsidRDefault="008D7DD4" w:rsidP="006870BD">
      <w:r w:rsidRPr="00DE1BD4">
        <w:t>The</w:t>
      </w:r>
      <w:r w:rsidR="006870BD" w:rsidRPr="00DE1BD4">
        <w:t xml:space="preserve"> Tampere Convention </w:t>
      </w:r>
      <w:r w:rsidRPr="00DE1BD4">
        <w:t xml:space="preserve">calls for removal or lessening of </w:t>
      </w:r>
      <w:r w:rsidR="006870BD" w:rsidRPr="00DE1BD4">
        <w:t xml:space="preserve">organisational barriers that impede the flow of information between the various elements of the international network for disaster response. This includes, among other elements </w:t>
      </w:r>
    </w:p>
    <w:p w14:paraId="73BCA857" w14:textId="77777777" w:rsidR="006870BD" w:rsidRPr="00DE1BD4" w:rsidRDefault="006870BD" w:rsidP="007B2958">
      <w:pPr>
        <w:pStyle w:val="ListParagraph"/>
        <w:numPr>
          <w:ilvl w:val="0"/>
          <w:numId w:val="10"/>
        </w:numPr>
      </w:pPr>
      <w:r w:rsidRPr="00DE1BD4">
        <w:t xml:space="preserve">the establishment of immunity against the confiscation of equipment, </w:t>
      </w:r>
    </w:p>
    <w:p w14:paraId="27930FC9" w14:textId="77777777" w:rsidR="006870BD" w:rsidRPr="00DE1BD4" w:rsidRDefault="006870BD" w:rsidP="007B2958">
      <w:pPr>
        <w:pStyle w:val="ListParagraph"/>
        <w:numPr>
          <w:ilvl w:val="0"/>
          <w:numId w:val="10"/>
        </w:numPr>
      </w:pPr>
      <w:r w:rsidRPr="00DE1BD4">
        <w:t xml:space="preserve">the prompt issuance of the appropriate licenses (e.g. telecommunications licenses, use of spectrum, etc.), </w:t>
      </w:r>
    </w:p>
    <w:p w14:paraId="4FD1675D" w14:textId="77777777" w:rsidR="006870BD" w:rsidRPr="00DE1BD4" w:rsidRDefault="006870BD" w:rsidP="007B2958">
      <w:pPr>
        <w:pStyle w:val="ListParagraph"/>
        <w:numPr>
          <w:ilvl w:val="0"/>
          <w:numId w:val="10"/>
        </w:numPr>
      </w:pPr>
      <w:r w:rsidRPr="00DE1BD4">
        <w:t xml:space="preserve">the development of mechanisms for the timely import and export of infrastructure that was used under the Convention, and </w:t>
      </w:r>
    </w:p>
    <w:p w14:paraId="2F77305B" w14:textId="437458BD" w:rsidR="006870BD" w:rsidRPr="00DE1BD4" w:rsidRDefault="006870BD" w:rsidP="007B2958">
      <w:pPr>
        <w:pStyle w:val="ListParagraph"/>
        <w:numPr>
          <w:ilvl w:val="0"/>
          <w:numId w:val="10"/>
        </w:numPr>
      </w:pPr>
      <w:r w:rsidRPr="00DE1BD4">
        <w:t>the facilitation of approvals for the arrival and departure of the assistance personnel to their country of origin</w:t>
      </w:r>
    </w:p>
    <w:p w14:paraId="160BF007" w14:textId="12705F74" w:rsidR="00E8427A" w:rsidRPr="00DE1BD4" w:rsidRDefault="00960502" w:rsidP="005B6EE4">
      <w:r w:rsidRPr="00DE1BD4">
        <w:t>T</w:t>
      </w:r>
      <w:r w:rsidR="00D652BC">
        <w:t>he Gambia</w:t>
      </w:r>
      <w:r w:rsidR="00363680" w:rsidRPr="00DE1BD4">
        <w:t xml:space="preserve"> is not a signatory to the Tampere </w:t>
      </w:r>
      <w:r w:rsidR="009E32B9" w:rsidRPr="00DE1BD4">
        <w:t>C</w:t>
      </w:r>
      <w:r w:rsidR="00363680" w:rsidRPr="00DE1BD4">
        <w:t>onvention</w:t>
      </w:r>
      <w:r w:rsidR="007578B6" w:rsidRPr="00DE1BD4">
        <w:t xml:space="preserve"> and </w:t>
      </w:r>
      <w:r w:rsidR="00727706" w:rsidRPr="00DE1BD4">
        <w:t>should initiate the necessary procedures to sign and ratify the treaty</w:t>
      </w:r>
      <w:r w:rsidR="001A7670" w:rsidRPr="00DE1BD4">
        <w:t>. W</w:t>
      </w:r>
      <w:r w:rsidR="007578B6" w:rsidRPr="00DE1BD4">
        <w:t xml:space="preserve">hile </w:t>
      </w:r>
      <w:r w:rsidR="00865434">
        <w:t>T</w:t>
      </w:r>
      <w:r w:rsidR="00D652BC">
        <w:t>he Gambia</w:t>
      </w:r>
      <w:r w:rsidR="001B20ED" w:rsidRPr="00DE1BD4">
        <w:t xml:space="preserve"> already has </w:t>
      </w:r>
      <w:r w:rsidR="009E2CBC" w:rsidRPr="00DE1BD4">
        <w:t xml:space="preserve">some </w:t>
      </w:r>
      <w:r w:rsidR="001A7670" w:rsidRPr="00DE1BD4">
        <w:t xml:space="preserve">legislation and </w:t>
      </w:r>
      <w:r w:rsidR="009E2CBC" w:rsidRPr="00DE1BD4">
        <w:t xml:space="preserve">regulations </w:t>
      </w:r>
      <w:r w:rsidR="001A7670" w:rsidRPr="00DE1BD4">
        <w:t xml:space="preserve">in place, </w:t>
      </w:r>
      <w:r w:rsidR="009E32B9" w:rsidRPr="00DE1BD4">
        <w:t xml:space="preserve">applying the contents of the Convention to current legislation, </w:t>
      </w:r>
      <w:r w:rsidR="00923650" w:rsidRPr="00DE1BD4">
        <w:t xml:space="preserve">may require </w:t>
      </w:r>
      <w:r w:rsidR="009E32B9" w:rsidRPr="00DE1BD4">
        <w:t xml:space="preserve">either adding or complementing the provisions of the current regulations regarding </w:t>
      </w:r>
      <w:r w:rsidR="00923650" w:rsidRPr="00DE1BD4">
        <w:t xml:space="preserve">customs and excise and </w:t>
      </w:r>
      <w:r w:rsidR="009E32B9" w:rsidRPr="00DE1BD4">
        <w:t>telecommunications for international assistance on DRM.</w:t>
      </w:r>
      <w:r w:rsidR="00E8427A" w:rsidRPr="00DE1BD4">
        <w:t xml:space="preserve"> </w:t>
      </w:r>
    </w:p>
    <w:p w14:paraId="6942417B" w14:textId="3188B031" w:rsidR="00BD3687" w:rsidRPr="00DE1BD4" w:rsidRDefault="00E8427A" w:rsidP="005B6EE4">
      <w:r w:rsidRPr="00DE1BD4">
        <w:t xml:space="preserve">If </w:t>
      </w:r>
      <w:r w:rsidR="00DB03C2">
        <w:t xml:space="preserve">The </w:t>
      </w:r>
      <w:r w:rsidR="00576CEF">
        <w:t>Gambia</w:t>
      </w:r>
      <w:r w:rsidRPr="00DE1BD4">
        <w:t xml:space="preserve"> ratifies the Convention, it is important </w:t>
      </w:r>
      <w:r w:rsidRPr="0056048D">
        <w:t xml:space="preserve">that </w:t>
      </w:r>
      <w:r w:rsidR="00576CEF">
        <w:t>PURA</w:t>
      </w:r>
      <w:r w:rsidRPr="0056048D">
        <w:t xml:space="preserve">, </w:t>
      </w:r>
      <w:r w:rsidRPr="009569AE">
        <w:rPr>
          <w:highlight w:val="yellow"/>
        </w:rPr>
        <w:t>M</w:t>
      </w:r>
      <w:r w:rsidR="009569AE" w:rsidRPr="009569AE">
        <w:rPr>
          <w:highlight w:val="yellow"/>
        </w:rPr>
        <w:t>oCDE</w:t>
      </w:r>
      <w:r w:rsidRPr="009569AE">
        <w:rPr>
          <w:highlight w:val="yellow"/>
        </w:rPr>
        <w:t>,</w:t>
      </w:r>
      <w:r w:rsidRPr="0056048D">
        <w:t xml:space="preserve"> O</w:t>
      </w:r>
      <w:r w:rsidR="00865434" w:rsidRPr="0056048D">
        <w:t xml:space="preserve">ffice of the </w:t>
      </w:r>
      <w:r w:rsidRPr="0056048D">
        <w:t>P</w:t>
      </w:r>
      <w:r w:rsidR="00865434" w:rsidRPr="0056048D">
        <w:t xml:space="preserve">rime </w:t>
      </w:r>
      <w:r w:rsidRPr="0056048D">
        <w:t>M</w:t>
      </w:r>
      <w:r w:rsidR="00865434" w:rsidRPr="0056048D">
        <w:t>inister,</w:t>
      </w:r>
      <w:r w:rsidRPr="0056048D">
        <w:t xml:space="preserve"> the Ministry o</w:t>
      </w:r>
      <w:r w:rsidRPr="00DE1BD4">
        <w:t>f Foreign Affairs, as well as the customs authority, initiate the required steps for its implementation. Likewise, it would be relevant to make certain legislative and regulatory adjustments at the national level, thereby complementing the current regulations on international assistance for disaster management</w:t>
      </w:r>
      <w:r w:rsidR="00295DCE" w:rsidRPr="00DE1BD4">
        <w:t>. These steps</w:t>
      </w:r>
      <w:r w:rsidR="00C55902" w:rsidRPr="00DE1BD4">
        <w:t xml:space="preserve"> will help those involved in DRM in the country internalise and effectively adopt the legal framework.</w:t>
      </w:r>
    </w:p>
    <w:p w14:paraId="0880672C" w14:textId="45C350D1" w:rsidR="006870BD" w:rsidRPr="00DE1BD4" w:rsidRDefault="00C13908" w:rsidP="006870BD">
      <w:r w:rsidRPr="00DE1BD4">
        <w:t xml:space="preserve">In accordance with the above details, and within the framework of the Tampere Convention, the responsible authority regarding telecom/ICT regulation, </w:t>
      </w:r>
      <w:r w:rsidR="00576CEF">
        <w:t>PURA</w:t>
      </w:r>
      <w:r w:rsidR="005F7CEB" w:rsidRPr="00DE1BD4">
        <w:t xml:space="preserve"> must </w:t>
      </w:r>
      <w:r w:rsidR="00D31C81" w:rsidRPr="00DE1BD4">
        <w:t>establish specific regulations for the implementation of the Convention including for example</w:t>
      </w:r>
      <w:r w:rsidR="006870BD" w:rsidRPr="0045782B">
        <w:rPr>
          <w:rStyle w:val="FootnoteReference"/>
        </w:rPr>
        <w:footnoteReference w:id="108"/>
      </w:r>
      <w:r w:rsidR="006870BD" w:rsidRPr="00DE1BD4">
        <w:t xml:space="preserve">: </w:t>
      </w:r>
    </w:p>
    <w:p w14:paraId="4102B15E" w14:textId="77777777" w:rsidR="006870BD" w:rsidRPr="00DE1BD4" w:rsidRDefault="006870BD" w:rsidP="006870BD">
      <w:pPr>
        <w:numPr>
          <w:ilvl w:val="0"/>
          <w:numId w:val="5"/>
        </w:numPr>
        <w:pBdr>
          <w:top w:val="nil"/>
          <w:left w:val="nil"/>
          <w:bottom w:val="nil"/>
          <w:right w:val="nil"/>
          <w:between w:val="nil"/>
        </w:pBdr>
        <w:spacing w:after="0" w:line="256" w:lineRule="auto"/>
      </w:pPr>
      <w:r w:rsidRPr="00DE1BD4">
        <w:rPr>
          <w:color w:val="000000"/>
        </w:rPr>
        <w:t>Exempt international aid provided through the Tampere Convention from any type of charge, including charges for the use of radio spectrum and for service licenses, among others.</w:t>
      </w:r>
    </w:p>
    <w:p w14:paraId="1F5B2756" w14:textId="77777777" w:rsidR="006870BD" w:rsidRPr="00DE1BD4" w:rsidRDefault="006870BD" w:rsidP="006870BD">
      <w:pPr>
        <w:numPr>
          <w:ilvl w:val="0"/>
          <w:numId w:val="5"/>
        </w:numPr>
        <w:pBdr>
          <w:top w:val="nil"/>
          <w:left w:val="nil"/>
          <w:bottom w:val="nil"/>
          <w:right w:val="nil"/>
          <w:between w:val="nil"/>
        </w:pBdr>
        <w:spacing w:after="0" w:line="256" w:lineRule="auto"/>
      </w:pPr>
      <w:r w:rsidRPr="00DE1BD4">
        <w:rPr>
          <w:color w:val="000000"/>
        </w:rPr>
        <w:t>Temporarily and expeditiously issue authorization for any use of the radio spectrum that is necessary, in line with the provisions of national legislation.</w:t>
      </w:r>
    </w:p>
    <w:p w14:paraId="0700CCF6" w14:textId="77777777" w:rsidR="006870BD" w:rsidRPr="00DE1BD4" w:rsidRDefault="006870BD" w:rsidP="006870BD">
      <w:pPr>
        <w:numPr>
          <w:ilvl w:val="0"/>
          <w:numId w:val="5"/>
        </w:numPr>
        <w:pBdr>
          <w:top w:val="nil"/>
          <w:left w:val="nil"/>
          <w:bottom w:val="nil"/>
          <w:right w:val="nil"/>
          <w:between w:val="nil"/>
        </w:pBdr>
        <w:spacing w:after="120" w:line="256" w:lineRule="auto"/>
      </w:pPr>
      <w:r w:rsidRPr="00DE1BD4">
        <w:rPr>
          <w:color w:val="000000"/>
        </w:rPr>
        <w:t>Simplify or create exemptions to any other existing regulation that prevents the use of telecom/ICT resources for international aid under the Tampere Convention.</w:t>
      </w:r>
    </w:p>
    <w:p w14:paraId="44C3AE1E" w14:textId="18971CEF" w:rsidR="006870BD" w:rsidRPr="00DE1BD4" w:rsidRDefault="0040582E" w:rsidP="006870BD">
      <w:pPr>
        <w:pBdr>
          <w:top w:val="nil"/>
          <w:left w:val="nil"/>
          <w:bottom w:val="nil"/>
          <w:right w:val="nil"/>
          <w:between w:val="nil"/>
        </w:pBdr>
        <w:spacing w:after="120" w:line="256" w:lineRule="auto"/>
      </w:pPr>
      <w:bookmarkStart w:id="397" w:name="_Hlk116846419"/>
      <w:r w:rsidRPr="00DE1BD4">
        <w:t>To execute the agreement, in the event of ratification, it is also recommended that the government entities of the cooperation framework be informed, so that all stakeholders have clear knowledge of the relevant legal provisions and can effectively apply them when a disaster does strike.</w:t>
      </w:r>
    </w:p>
    <w:p w14:paraId="7D269E2D" w14:textId="119B63C0" w:rsidR="0041099B" w:rsidRDefault="0041099B" w:rsidP="00C528FF">
      <w:pPr>
        <w:pStyle w:val="Heading2"/>
      </w:pPr>
      <w:bookmarkStart w:id="398" w:name="_3vac5uf"/>
      <w:bookmarkStart w:id="399" w:name="_2afmg28"/>
      <w:bookmarkStart w:id="400" w:name="_Toc181885821"/>
      <w:bookmarkStart w:id="401" w:name="_Toc90825898"/>
      <w:bookmarkStart w:id="402" w:name="_Toc90826019"/>
      <w:bookmarkStart w:id="403" w:name="_Toc91172674"/>
      <w:bookmarkStart w:id="404" w:name="_Toc91185561"/>
      <w:bookmarkEnd w:id="392"/>
      <w:bookmarkEnd w:id="393"/>
      <w:bookmarkEnd w:id="394"/>
      <w:bookmarkEnd w:id="395"/>
      <w:bookmarkEnd w:id="396"/>
      <w:bookmarkEnd w:id="397"/>
      <w:bookmarkEnd w:id="398"/>
      <w:bookmarkEnd w:id="399"/>
      <w:r>
        <w:t>Africa Risk Capacity Agreement</w:t>
      </w:r>
      <w:bookmarkEnd w:id="400"/>
    </w:p>
    <w:p w14:paraId="540B27B6" w14:textId="7ACDB1C4" w:rsidR="003945E3" w:rsidRDefault="00E506E0" w:rsidP="0041099B">
      <w:r>
        <w:t>The Gambia</w:t>
      </w:r>
      <w:r w:rsidRPr="00E506E0">
        <w:t xml:space="preserve"> signed a Memorandum of Understanding (MoU) with the African Risk Capacity (ARC) on </w:t>
      </w:r>
      <w:r w:rsidR="00164E85">
        <w:t>January</w:t>
      </w:r>
      <w:r w:rsidRPr="00E506E0">
        <w:t xml:space="preserve"> </w:t>
      </w:r>
      <w:r w:rsidR="00D55F85">
        <w:t>23</w:t>
      </w:r>
      <w:r w:rsidRPr="00E506E0">
        <w:t>, 2016</w:t>
      </w:r>
      <w:r w:rsidR="0020520F" w:rsidRPr="0045782B">
        <w:rPr>
          <w:rStyle w:val="FootnoteReference"/>
        </w:rPr>
        <w:footnoteReference w:id="109"/>
      </w:r>
      <w:r w:rsidRPr="00E506E0">
        <w:t>, to work together and better prepare to deal with extreme weather events and natural hazards efficiently. ARC was established in 2012 as a Specialised Agency of the African Union to help Member States improve their capacities to better plan, prepare, and respond to weather-related disasters; and particularly, to reduce the risk of loss and damage caused by extreme weather events’ affecting Africa’s populations. This task is accomplished by providing, through sovereign disaster risk insurance, targeted responses to natural hazards in a more timely, cost-effective, objective, and transparent manner</w:t>
      </w:r>
      <w:r w:rsidR="003945E3" w:rsidRPr="0045782B">
        <w:rPr>
          <w:rStyle w:val="FootnoteReference"/>
        </w:rPr>
        <w:footnoteReference w:id="110"/>
      </w:r>
      <w:r w:rsidR="003945E3">
        <w:t>.</w:t>
      </w:r>
    </w:p>
    <w:p w14:paraId="1D3371A1" w14:textId="124B6DD9" w:rsidR="008902F8" w:rsidRDefault="00E506E0" w:rsidP="0041099B">
      <w:r w:rsidRPr="00E506E0">
        <w:t xml:space="preserve">Upon entering the MoU, the </w:t>
      </w:r>
      <w:r w:rsidR="008902F8">
        <w:t>g</w:t>
      </w:r>
      <w:r w:rsidRPr="00E506E0">
        <w:t>overnment</w:t>
      </w:r>
      <w:r w:rsidR="008902F8">
        <w:t xml:space="preserve"> of The Gambia</w:t>
      </w:r>
      <w:r w:rsidRPr="00E506E0">
        <w:t xml:space="preserve"> agreed to commit to carrying out technical work required under the Capacity Building Programme for one year, as well as to avail themselves of relevant technical experts who form a core government team and act as focal points within their department for specific work streams of the programme, and also allow these staff members to retain their office space and dedicate the necessary time to ARC activities</w:t>
      </w:r>
      <w:r w:rsidR="00993C5A" w:rsidRPr="0045782B">
        <w:rPr>
          <w:rStyle w:val="FootnoteReference"/>
        </w:rPr>
        <w:footnoteReference w:id="111"/>
      </w:r>
      <w:r w:rsidRPr="00E506E0">
        <w:t>.</w:t>
      </w:r>
    </w:p>
    <w:p w14:paraId="08CCB767" w14:textId="3FA829FF" w:rsidR="0041099B" w:rsidRPr="0041099B" w:rsidRDefault="00E506E0" w:rsidP="0041099B">
      <w:r w:rsidRPr="00E506E0">
        <w:t>In the same manner, A</w:t>
      </w:r>
      <w:r w:rsidR="008902F8">
        <w:t>RC</w:t>
      </w:r>
      <w:r w:rsidRPr="00E506E0">
        <w:t xml:space="preserve"> agrees to provide resources (e.g., Africa </w:t>
      </w:r>
      <w:proofErr w:type="spellStart"/>
      <w:r w:rsidRPr="00E506E0">
        <w:t>RiskView</w:t>
      </w:r>
      <w:proofErr w:type="spellEnd"/>
      <w:r w:rsidRPr="00E506E0">
        <w:t xml:space="preserve"> software) that will enable the government team to complete the activities of the programme; provide training inside and outside the country for the government team on various aspects of the programme, thereby transferring knowledge and capacity; and provide technical expertise and guidance throughout the programme</w:t>
      </w:r>
      <w:r w:rsidR="00F41FC3">
        <w:t>.</w:t>
      </w:r>
    </w:p>
    <w:p w14:paraId="21D1D30E" w14:textId="36CD4D98" w:rsidR="00AB1F8A" w:rsidRPr="00DE1BD4" w:rsidRDefault="005C23DB" w:rsidP="00C528FF">
      <w:pPr>
        <w:pStyle w:val="Heading2"/>
      </w:pPr>
      <w:bookmarkStart w:id="405" w:name="_Toc181885822"/>
      <w:r w:rsidRPr="00DE1BD4">
        <w:t>Crisis Connectivity Charter</w:t>
      </w:r>
      <w:r w:rsidR="00A07C7E" w:rsidRPr="00DE1BD4">
        <w:t xml:space="preserve"> (CCC)</w:t>
      </w:r>
      <w:bookmarkEnd w:id="401"/>
      <w:bookmarkEnd w:id="402"/>
      <w:bookmarkEnd w:id="403"/>
      <w:bookmarkEnd w:id="404"/>
      <w:bookmarkEnd w:id="405"/>
    </w:p>
    <w:p w14:paraId="0C698CC9" w14:textId="7FF87352" w:rsidR="00D76716" w:rsidRPr="00DE1BD4" w:rsidRDefault="008602C1" w:rsidP="008C0E20">
      <w:r w:rsidRPr="00DE1BD4">
        <w:t>Satellite-based telecommunications</w:t>
      </w:r>
      <w:r w:rsidR="00D76716" w:rsidRPr="00DE1BD4">
        <w:t xml:space="preserve"> are an extremely useful and quick-to-deploy solution when land-based networks are damaged by natural disasters.</w:t>
      </w:r>
    </w:p>
    <w:p w14:paraId="6B30BAB4" w14:textId="1ED3F441" w:rsidR="005C23DB" w:rsidRPr="00DE1BD4" w:rsidRDefault="00D36D3F" w:rsidP="008C0E20">
      <w:r w:rsidRPr="00DE1BD4">
        <w:t xml:space="preserve">Under the Crisis Connectivity Charter, </w:t>
      </w:r>
      <w:r w:rsidR="00C609FC" w:rsidRPr="00DE1BD4">
        <w:t>the</w:t>
      </w:r>
      <w:r w:rsidR="005C23DB" w:rsidRPr="00DE1BD4">
        <w:t xml:space="preserve"> EMEA Satellite Operator’s Association (ESOA)</w:t>
      </w:r>
      <w:r w:rsidR="00C609FC" w:rsidRPr="00DE1BD4">
        <w:t>,</w:t>
      </w:r>
      <w:r w:rsidR="005C23DB" w:rsidRPr="00DE1BD4">
        <w:t xml:space="preserve"> the Global VSAT Forum (GVF), the UN Office for the Coordination of Humanitarian Affairs (OCHA) and the Emergency Telecommunications Cluster (ETC), led by the World Food Programme (WFP)</w:t>
      </w:r>
      <w:r w:rsidR="00A07C7E" w:rsidRPr="00DE1BD4">
        <w:t>,</w:t>
      </w:r>
      <w:r w:rsidR="005C23DB" w:rsidRPr="00DE1BD4">
        <w:t>​</w:t>
      </w:r>
      <w:r w:rsidRPr="00DE1BD4">
        <w:t xml:space="preserve"> have defined and committed to a </w:t>
      </w:r>
      <w:r w:rsidR="00C609FC" w:rsidRPr="00DE1BD4">
        <w:t>framework</w:t>
      </w:r>
      <w:r w:rsidRPr="00DE1BD4">
        <w:t xml:space="preserve"> to improve the existing satellite-based response and enhance connectivity at times of crisis</w:t>
      </w:r>
      <w:r w:rsidR="00153EB4" w:rsidRPr="0045782B">
        <w:rPr>
          <w:rStyle w:val="FootnoteReference"/>
        </w:rPr>
        <w:footnoteReference w:id="112"/>
      </w:r>
      <w:r w:rsidR="00145975" w:rsidRPr="00DE1BD4">
        <w:t>.</w:t>
      </w:r>
    </w:p>
    <w:p w14:paraId="36AEE3C1" w14:textId="0216C6FD" w:rsidR="00D36D3F" w:rsidRPr="00DE1BD4" w:rsidRDefault="00C609FC" w:rsidP="00D36D3F">
      <w:r w:rsidRPr="00DE1BD4">
        <w:t>This</w:t>
      </w:r>
      <w:r w:rsidR="00D36D3F" w:rsidRPr="00DE1BD4">
        <w:t xml:space="preserve"> industry-led mechanism </w:t>
      </w:r>
      <w:r w:rsidRPr="00DE1BD4">
        <w:t>is</w:t>
      </w:r>
      <w:r w:rsidR="00D36D3F" w:rsidRPr="00DE1BD4">
        <w:t xml:space="preserve"> </w:t>
      </w:r>
      <w:r w:rsidR="00A07C7E" w:rsidRPr="00DE1BD4">
        <w:t>activated</w:t>
      </w:r>
      <w:r w:rsidR="00D36D3F" w:rsidRPr="00DE1BD4">
        <w:t xml:space="preserve"> by the ETC</w:t>
      </w:r>
      <w:r w:rsidR="00A07C7E" w:rsidRPr="00DE1BD4">
        <w:t xml:space="preserve">. It enhances coordination between all actors in the satellite industry </w:t>
      </w:r>
      <w:r w:rsidRPr="00DE1BD4">
        <w:t>to enable</w:t>
      </w:r>
      <w:r w:rsidR="00A07C7E" w:rsidRPr="00DE1BD4">
        <w:t xml:space="preserve"> the swift prioritisation of critical, humanitarian traffic, when requested. </w:t>
      </w:r>
    </w:p>
    <w:p w14:paraId="56D67F7E" w14:textId="5911B849" w:rsidR="008075ED" w:rsidRPr="00DE1BD4" w:rsidRDefault="008075ED" w:rsidP="008075ED">
      <w:pPr>
        <w:pStyle w:val="Heading2"/>
      </w:pPr>
      <w:bookmarkStart w:id="406" w:name="_Toc181885823"/>
      <w:r w:rsidRPr="00DE1BD4">
        <w:t>International Charter on Space and Major Disasters</w:t>
      </w:r>
      <w:r w:rsidR="006B06BD" w:rsidRPr="0045782B">
        <w:rPr>
          <w:rStyle w:val="FootnoteReference"/>
        </w:rPr>
        <w:footnoteReference w:id="113"/>
      </w:r>
      <w:bookmarkEnd w:id="406"/>
    </w:p>
    <w:p w14:paraId="2E42DBDC" w14:textId="65145BC6" w:rsidR="008075ED" w:rsidRPr="00DE1BD4" w:rsidRDefault="008075ED" w:rsidP="008075ED">
      <w:r w:rsidRPr="00DE1BD4">
        <w:t xml:space="preserve">This charter promotes collaboration among space agencies around the world to make satellite data available to the DRM authority in an affected country during an emergency. The Charter combines Earth observation assets from </w:t>
      </w:r>
      <w:r w:rsidR="006B06BD" w:rsidRPr="00DE1BD4">
        <w:t xml:space="preserve">17 </w:t>
      </w:r>
      <w:r w:rsidRPr="00DE1BD4">
        <w:t xml:space="preserve">different agencies, including high-resolution satellite images from commercial operators. </w:t>
      </w:r>
    </w:p>
    <w:p w14:paraId="298338D4" w14:textId="63B50485" w:rsidR="008075ED" w:rsidRPr="00DE1BD4" w:rsidRDefault="006964BE" w:rsidP="008075ED">
      <w:r>
        <w:t>T</w:t>
      </w:r>
      <w:r w:rsidR="00B138F2">
        <w:t>he Gambia</w:t>
      </w:r>
      <w:r w:rsidR="00493142" w:rsidRPr="00DE1BD4">
        <w:t xml:space="preserve"> is a member of this charter and can submit requests </w:t>
      </w:r>
      <w:r w:rsidR="008075ED" w:rsidRPr="00DE1BD4">
        <w:t xml:space="preserve">to activate the Charter for satellite data on </w:t>
      </w:r>
      <w:r w:rsidR="00942A85">
        <w:t xml:space="preserve">relating to </w:t>
      </w:r>
      <w:r w:rsidR="008075ED" w:rsidRPr="00DE1BD4">
        <w:t>a disaster</w:t>
      </w:r>
      <w:r w:rsidR="00D908F4" w:rsidRPr="00DE1BD4">
        <w:t>.</w:t>
      </w:r>
      <w:r w:rsidR="00181FB9" w:rsidRPr="00DE1BD4">
        <w:t xml:space="preserve"> </w:t>
      </w:r>
    </w:p>
    <w:p w14:paraId="12872703" w14:textId="3415218D" w:rsidR="00CF4069" w:rsidRPr="00DE1BD4" w:rsidRDefault="00BE0B80" w:rsidP="00C528FF">
      <w:pPr>
        <w:pStyle w:val="Heading2"/>
      </w:pPr>
      <w:bookmarkStart w:id="407" w:name="_pkwqa1"/>
      <w:bookmarkStart w:id="408" w:name="_39kk8xu"/>
      <w:bookmarkStart w:id="409" w:name="_Toc90825900"/>
      <w:bookmarkStart w:id="410" w:name="_Toc90826021"/>
      <w:bookmarkStart w:id="411" w:name="_Toc91172676"/>
      <w:bookmarkStart w:id="412" w:name="_Toc91185563"/>
      <w:bookmarkStart w:id="413" w:name="_Toc181885824"/>
      <w:bookmarkEnd w:id="407"/>
      <w:bookmarkEnd w:id="408"/>
      <w:r w:rsidRPr="00DE1BD4">
        <w:t>United Nations Disaster Assessment and Coordination (UNDAC)</w:t>
      </w:r>
      <w:bookmarkEnd w:id="409"/>
      <w:bookmarkEnd w:id="410"/>
      <w:bookmarkEnd w:id="411"/>
      <w:bookmarkEnd w:id="412"/>
      <w:bookmarkEnd w:id="413"/>
    </w:p>
    <w:p w14:paraId="12CB67DE" w14:textId="4D14646B" w:rsidR="00BC27A4" w:rsidRPr="00DE1BD4" w:rsidRDefault="00BC27A4" w:rsidP="00BC27A4">
      <w:r w:rsidRPr="00DE1BD4">
        <w:t xml:space="preserve">The UNDAC team was established in 1993 and today consists of more than 250 national emergency managers from more than 70 member and participating countries, together with staff from OCHA and 16 international and regional organizations including UN agencies.  </w:t>
      </w:r>
    </w:p>
    <w:p w14:paraId="3729E6DA" w14:textId="12AFBBAC" w:rsidR="00BC27A4" w:rsidRPr="00DE1BD4" w:rsidRDefault="00BC27A4" w:rsidP="00BC27A4">
      <w:r w:rsidRPr="00DE1BD4">
        <w:t>The UNDAC system counts on the participation of the following organisations:</w:t>
      </w:r>
    </w:p>
    <w:p w14:paraId="5D8A0326" w14:textId="77777777" w:rsidR="00BC27A4" w:rsidRPr="00DE1BD4" w:rsidRDefault="00BC27A4" w:rsidP="00BC27A4">
      <w:r w:rsidRPr="00DE1BD4">
        <w:t>ECHO &amp; Civil Protection Mechanism, CEPREDENAC, ASEAN, ECOWAS, IFRC, ISDR, OCHA, UNDP, UN-DSS, UNEP, UNICEF, UNOSAT, WFP, World Bank, WHO &amp; PAHO.</w:t>
      </w:r>
    </w:p>
    <w:p w14:paraId="6ADD9879" w14:textId="4EF7CD86" w:rsidR="005B06FC" w:rsidRPr="00DE1BD4" w:rsidRDefault="005B06FC" w:rsidP="00CF4069">
      <w:r w:rsidRPr="00DE1BD4">
        <w:t>UNDAC teams</w:t>
      </w:r>
      <w:r w:rsidR="00F458D0" w:rsidRPr="00DE1BD4">
        <w:t xml:space="preserve"> consist of experienced emergency managers and technical support </w:t>
      </w:r>
      <w:r w:rsidR="008D5D84" w:rsidRPr="00DE1BD4">
        <w:t>personnel and</w:t>
      </w:r>
      <w:r w:rsidR="00F458D0" w:rsidRPr="00DE1BD4">
        <w:t xml:space="preserve"> </w:t>
      </w:r>
      <w:r w:rsidR="008D5D84" w:rsidRPr="00DE1BD4">
        <w:t>can</w:t>
      </w:r>
      <w:r w:rsidRPr="00DE1BD4">
        <w:t xml:space="preserve"> be deployed in 12-48 hours of a request.</w:t>
      </w:r>
      <w:r w:rsidR="00F458D0" w:rsidRPr="00DE1BD4">
        <w:t xml:space="preserve"> They are a neutral, international asset provided free of cost</w:t>
      </w:r>
      <w:r w:rsidR="00FE5018" w:rsidRPr="0045782B">
        <w:rPr>
          <w:rStyle w:val="FootnoteReference"/>
        </w:rPr>
        <w:footnoteReference w:id="114"/>
      </w:r>
      <w:r w:rsidR="008D5D84" w:rsidRPr="00DE1BD4">
        <w:t>.</w:t>
      </w:r>
    </w:p>
    <w:p w14:paraId="0457D4D4" w14:textId="63BE8A24" w:rsidR="00182AF1" w:rsidRPr="00DE1BD4" w:rsidRDefault="00182AF1" w:rsidP="00CF4069">
      <w:r w:rsidRPr="00DE1BD4">
        <w:t xml:space="preserve">Technical partnerships of the UNDAC system include NGOs such as </w:t>
      </w:r>
      <w:proofErr w:type="spellStart"/>
      <w:r w:rsidRPr="00DE1BD4">
        <w:t>MapAction</w:t>
      </w:r>
      <w:proofErr w:type="spellEnd"/>
      <w:r w:rsidRPr="00DE1BD4">
        <w:t xml:space="preserve"> and Telecoms sans Frontières (TSF), offering services such as emergency mapping and emergency telecommunications when deployed with an UNDAC team. UNOSAT is another operational partner </w:t>
      </w:r>
      <w:r w:rsidR="001B29A8" w:rsidRPr="00DE1BD4">
        <w:t>who</w:t>
      </w:r>
      <w:r w:rsidRPr="00DE1BD4">
        <w:t xml:space="preserve"> provides satellite imagery and GIS support</w:t>
      </w:r>
      <w:r w:rsidR="00DE10FB" w:rsidRPr="00DE1BD4">
        <w:t xml:space="preserve"> to the humanitarian community</w:t>
      </w:r>
      <w:r w:rsidR="00DE10FB" w:rsidRPr="0045782B">
        <w:rPr>
          <w:rStyle w:val="FootnoteReference"/>
        </w:rPr>
        <w:footnoteReference w:id="115"/>
      </w:r>
      <w:r w:rsidR="008C3E23" w:rsidRPr="00DE1BD4">
        <w:t>.</w:t>
      </w:r>
    </w:p>
    <w:p w14:paraId="4D79BF22" w14:textId="67AA0282" w:rsidR="00C1143A" w:rsidRPr="00DE1BD4" w:rsidRDefault="00C1143A" w:rsidP="00C528FF">
      <w:pPr>
        <w:pStyle w:val="Heading2"/>
      </w:pPr>
      <w:bookmarkStart w:id="414" w:name="_Toc90825904"/>
      <w:bookmarkStart w:id="415" w:name="_Toc90826026"/>
      <w:bookmarkStart w:id="416" w:name="_Toc91172681"/>
      <w:bookmarkStart w:id="417" w:name="_Toc91185568"/>
      <w:bookmarkStart w:id="418" w:name="_Toc181885825"/>
      <w:r w:rsidRPr="00DE1BD4">
        <w:t>United Nations</w:t>
      </w:r>
      <w:r w:rsidR="00AD69F9" w:rsidRPr="00DE1BD4">
        <w:t xml:space="preserve"> </w:t>
      </w:r>
      <w:r w:rsidR="00734116" w:rsidRPr="00DE1BD4">
        <w:t>(UN</w:t>
      </w:r>
      <w:r w:rsidR="00734116" w:rsidRPr="009D41E7">
        <w:t>)</w:t>
      </w:r>
      <w:r w:rsidR="009D5950" w:rsidRPr="009D41E7">
        <w:t xml:space="preserve"> Agencies</w:t>
      </w:r>
      <w:bookmarkEnd w:id="414"/>
      <w:bookmarkEnd w:id="415"/>
      <w:bookmarkEnd w:id="416"/>
      <w:bookmarkEnd w:id="417"/>
      <w:bookmarkEnd w:id="418"/>
    </w:p>
    <w:p w14:paraId="4DB7F800" w14:textId="521BC77C" w:rsidR="00193D22" w:rsidRPr="00DE1BD4" w:rsidRDefault="00865434" w:rsidP="00AC0096">
      <w:pPr>
        <w:spacing w:line="240" w:lineRule="auto"/>
      </w:pPr>
      <w:r>
        <w:t>T</w:t>
      </w:r>
      <w:r w:rsidR="007811ED">
        <w:t>he Gambia</w:t>
      </w:r>
      <w:r w:rsidR="00226A76" w:rsidRPr="00DE1BD4">
        <w:t xml:space="preserve"> </w:t>
      </w:r>
      <w:r w:rsidR="00AC0096" w:rsidRPr="00DE1BD4">
        <w:t>became a full member of the UN in 19</w:t>
      </w:r>
      <w:r w:rsidR="00F6423F">
        <w:t>6</w:t>
      </w:r>
      <w:r w:rsidR="00027F5A">
        <w:t>5</w:t>
      </w:r>
      <w:r w:rsidR="00027F5A" w:rsidRPr="0045782B">
        <w:rPr>
          <w:rStyle w:val="FootnoteReference"/>
        </w:rPr>
        <w:footnoteReference w:id="116"/>
      </w:r>
      <w:r w:rsidR="00226A76" w:rsidRPr="00DE1BD4">
        <w:t xml:space="preserve">. </w:t>
      </w:r>
      <w:r w:rsidR="00AC0096" w:rsidRPr="00DE1BD4">
        <w:t xml:space="preserve">The UN </w:t>
      </w:r>
      <w:r w:rsidR="009D41E7">
        <w:t>has 23</w:t>
      </w:r>
      <w:r w:rsidR="00AC0096" w:rsidRPr="00DE1BD4">
        <w:t xml:space="preserve"> agencies implementing programs: </w:t>
      </w:r>
      <w:r w:rsidR="00973618" w:rsidRPr="00DE1BD4">
        <w:t>FAO, ILO, IOM, UNDP, UNCDF, UN Environment, UNESCAP, UNESCO, UNFPA, UNICEF, UNISDR, UNOCHA, UN Women, WFP, WHO and WMO.</w:t>
      </w:r>
    </w:p>
    <w:p w14:paraId="2A423D47" w14:textId="64D9C3D5" w:rsidR="00B42BA6" w:rsidRPr="00DE1BD4" w:rsidRDefault="00B42BA6" w:rsidP="001E7CA5">
      <w:r w:rsidRPr="00DE1BD4">
        <w:rPr>
          <w:b/>
          <w:bCs/>
        </w:rPr>
        <w:t>UNDRR</w:t>
      </w:r>
      <w:r w:rsidRPr="00DE1BD4">
        <w:t xml:space="preserve"> (previously the UN International Strategy for Disaster Reduction, UNISDR), has been advocating for disaster risk prevention and preparedness for the last two </w:t>
      </w:r>
      <w:r w:rsidR="001E7CA5" w:rsidRPr="00DE1BD4">
        <w:t>decades.</w:t>
      </w:r>
    </w:p>
    <w:p w14:paraId="70938327" w14:textId="06B92EBD" w:rsidR="00230547" w:rsidRPr="00DE1BD4" w:rsidRDefault="00230547" w:rsidP="00D149AA">
      <w:pPr>
        <w:spacing w:line="240" w:lineRule="auto"/>
      </w:pPr>
      <w:r w:rsidRPr="00DE1BD4">
        <w:rPr>
          <w:rFonts w:asciiTheme="minorHAnsi" w:hAnsiTheme="minorHAnsi" w:cstheme="minorHAnsi"/>
          <w:b/>
          <w:bCs/>
        </w:rPr>
        <w:t>The International Telecommunication Union (ITU)</w:t>
      </w:r>
      <w:r w:rsidRPr="00DE1BD4">
        <w:rPr>
          <w:rFonts w:asciiTheme="minorHAnsi" w:hAnsiTheme="minorHAnsi" w:cstheme="minorHAnsi"/>
        </w:rPr>
        <w:t xml:space="preserve"> is the United Nations specialized agency for</w:t>
      </w:r>
      <w:r w:rsidRPr="00DE1BD4">
        <w:rPr>
          <w:b/>
          <w:bCs/>
        </w:rPr>
        <w:t xml:space="preserve"> </w:t>
      </w:r>
      <w:r w:rsidRPr="00DE1BD4">
        <w:t xml:space="preserve">information and communication technologies – ICTs.  </w:t>
      </w:r>
    </w:p>
    <w:p w14:paraId="57B6F6F4" w14:textId="43EE9555" w:rsidR="00AE7E00" w:rsidRPr="00DE1BD4" w:rsidRDefault="00AE7E00" w:rsidP="00AE7E00">
      <w:pPr>
        <w:spacing w:after="0"/>
        <w:rPr>
          <w:rFonts w:cs="CaeciliaLTStd-Roman"/>
        </w:rPr>
      </w:pPr>
      <w:r w:rsidRPr="00DE1BD4">
        <w:rPr>
          <w:rFonts w:cs="CaeciliaLTStd-Roman"/>
        </w:rPr>
        <w:t>The ITU undertakes various activities related to issues of telecommunications during emergencies</w:t>
      </w:r>
      <w:r w:rsidR="00D83C63" w:rsidRPr="00DE1BD4">
        <w:rPr>
          <w:rFonts w:cs="CaeciliaLTStd-Roman"/>
        </w:rPr>
        <w:t xml:space="preserve"> including provision of</w:t>
      </w:r>
      <w:r w:rsidR="00B66A74" w:rsidRPr="00DE1BD4">
        <w:rPr>
          <w:rFonts w:cs="CaeciliaLTStd-Roman"/>
        </w:rPr>
        <w:t>:</w:t>
      </w:r>
    </w:p>
    <w:p w14:paraId="212CD9CA" w14:textId="4FA68FFC" w:rsidR="00AE7E00" w:rsidRPr="00DE1BD4" w:rsidRDefault="00AE7E00">
      <w:pPr>
        <w:pStyle w:val="ListParagraph"/>
        <w:numPr>
          <w:ilvl w:val="0"/>
          <w:numId w:val="7"/>
        </w:numPr>
        <w:spacing w:after="0"/>
        <w:rPr>
          <w:rFonts w:cs="CaeciliaLTStd-Roman"/>
        </w:rPr>
      </w:pPr>
      <w:r w:rsidRPr="00DE1BD4">
        <w:rPr>
          <w:rFonts w:cs="CaeciliaLTStd-Roman"/>
        </w:rPr>
        <w:t xml:space="preserve">manuals on emergency </w:t>
      </w:r>
      <w:r w:rsidR="00B66A74" w:rsidRPr="00DE1BD4">
        <w:rPr>
          <w:rFonts w:cs="CaeciliaLTStd-Roman"/>
        </w:rPr>
        <w:t>telecommunications</w:t>
      </w:r>
    </w:p>
    <w:p w14:paraId="50ABEA7B" w14:textId="63C14E63" w:rsidR="00AE7E00" w:rsidRPr="00DE1BD4" w:rsidRDefault="00AE7E00">
      <w:pPr>
        <w:pStyle w:val="ListParagraph"/>
        <w:numPr>
          <w:ilvl w:val="0"/>
          <w:numId w:val="7"/>
        </w:numPr>
        <w:spacing w:after="0"/>
        <w:rPr>
          <w:rFonts w:cs="CaeciliaLTStd-Roman"/>
        </w:rPr>
      </w:pPr>
      <w:r w:rsidRPr="00DE1BD4">
        <w:rPr>
          <w:rFonts w:cs="CaeciliaLTStd-Roman"/>
        </w:rPr>
        <w:t>emergency radiocommunications specifications applicable to all phases of a disaster</w:t>
      </w:r>
    </w:p>
    <w:p w14:paraId="6E4F5130" w14:textId="4D878AE0" w:rsidR="00AE7E00" w:rsidRPr="00DE1BD4" w:rsidRDefault="00AE7E00">
      <w:pPr>
        <w:pStyle w:val="ListParagraph"/>
        <w:numPr>
          <w:ilvl w:val="0"/>
          <w:numId w:val="7"/>
        </w:numPr>
        <w:spacing w:after="0"/>
        <w:rPr>
          <w:rFonts w:cs="CaeciliaLTStd-Roman"/>
        </w:rPr>
      </w:pPr>
      <w:r w:rsidRPr="00DE1BD4">
        <w:rPr>
          <w:rFonts w:cs="CaeciliaLTStd-Roman"/>
        </w:rPr>
        <w:t>databases of available frequencies for emergency radiocommunication services on land and space</w:t>
      </w:r>
    </w:p>
    <w:p w14:paraId="73EA9CD7" w14:textId="03738212" w:rsidR="00AE7E00" w:rsidRPr="00DE1BD4" w:rsidRDefault="00AE7E00">
      <w:pPr>
        <w:pStyle w:val="ListParagraph"/>
        <w:numPr>
          <w:ilvl w:val="0"/>
          <w:numId w:val="7"/>
        </w:numPr>
        <w:spacing w:after="0"/>
        <w:rPr>
          <w:rFonts w:cs="CaeciliaLTStd-Roman"/>
        </w:rPr>
      </w:pPr>
      <w:r w:rsidRPr="00DE1BD4">
        <w:rPr>
          <w:rFonts w:cs="CaeciliaLTStd-Roman"/>
        </w:rPr>
        <w:t>the International Emergency Preferences Scheme and a Common Alert Protocol</w:t>
      </w:r>
      <w:r w:rsidR="008A4AAF" w:rsidRPr="0045782B">
        <w:rPr>
          <w:rStyle w:val="FootnoteReference"/>
        </w:rPr>
        <w:footnoteReference w:id="117"/>
      </w:r>
      <w:r w:rsidRPr="00DE1BD4">
        <w:rPr>
          <w:rFonts w:cs="CaeciliaLTStd-Roman"/>
        </w:rPr>
        <w:t xml:space="preserve">. </w:t>
      </w:r>
    </w:p>
    <w:p w14:paraId="3BDB9E00" w14:textId="4119E7EE" w:rsidR="00C30A52" w:rsidRPr="00DE1BD4" w:rsidRDefault="00C30A52" w:rsidP="00920BCD">
      <w:pPr>
        <w:spacing w:before="240"/>
      </w:pPr>
      <w:r w:rsidRPr="00DE1BD4">
        <w:rPr>
          <w:shd w:val="clear" w:color="auto" w:fill="FFFFFF"/>
        </w:rPr>
        <w:t xml:space="preserve">The </w:t>
      </w:r>
      <w:r w:rsidRPr="00DE1BD4">
        <w:rPr>
          <w:b/>
          <w:bCs/>
          <w:shd w:val="clear" w:color="auto" w:fill="FFFFFF"/>
        </w:rPr>
        <w:t>World Meteorological Organization (WMO)</w:t>
      </w:r>
      <w:r w:rsidRPr="00DE1BD4">
        <w:rPr>
          <w:shd w:val="clear" w:color="auto" w:fill="FFFFFF"/>
        </w:rPr>
        <w:t xml:space="preserve"> is an intergovernmental organization with a membership of 193 Member States and Territories WMO is the specialised agency of the United Nations for meteorology (weather and climate), operational hydrology and related geophysical sciences a year later. </w:t>
      </w:r>
      <w:r w:rsidRPr="00DE1BD4">
        <w:t>WMO regional offices coordinate technical and institutional support to the National Meteorological and Hydrological Services at the regional level.</w:t>
      </w:r>
    </w:p>
    <w:p w14:paraId="50838F67" w14:textId="34BF0E5C" w:rsidR="005B6921" w:rsidRPr="00DE1BD4" w:rsidRDefault="005B6921" w:rsidP="00E141B1">
      <w:pPr>
        <w:spacing w:line="240" w:lineRule="auto"/>
        <w:rPr>
          <w:b/>
          <w:bCs/>
        </w:rPr>
      </w:pPr>
      <w:r w:rsidRPr="00DE1BD4">
        <w:t xml:space="preserve">See also </w:t>
      </w:r>
      <w:r w:rsidRPr="00DE1BD4">
        <w:fldChar w:fldCharType="begin"/>
      </w:r>
      <w:r w:rsidRPr="00DE1BD4">
        <w:instrText xml:space="preserve"> REF _Ref110169074 \r \h </w:instrText>
      </w:r>
      <w:r w:rsidRPr="00DE1BD4">
        <w:fldChar w:fldCharType="separate"/>
      </w:r>
      <w:r w:rsidR="00CB2665">
        <w:t>5.8</w:t>
      </w:r>
      <w:r w:rsidRPr="00DE1BD4">
        <w:fldChar w:fldCharType="end"/>
      </w:r>
      <w:r w:rsidRPr="00DE1BD4">
        <w:t xml:space="preserve"> </w:t>
      </w:r>
      <w:r w:rsidRPr="00DE1BD4">
        <w:rPr>
          <w:b/>
          <w:bCs/>
        </w:rPr>
        <w:fldChar w:fldCharType="begin"/>
      </w:r>
      <w:r w:rsidRPr="00DE1BD4">
        <w:rPr>
          <w:b/>
          <w:bCs/>
        </w:rPr>
        <w:instrText xml:space="preserve"> REF _Ref110169074 \h  \* MERGEFORMAT </w:instrText>
      </w:r>
      <w:r w:rsidRPr="00DE1BD4">
        <w:rPr>
          <w:b/>
          <w:bCs/>
        </w:rPr>
      </w:r>
      <w:r w:rsidRPr="00DE1BD4">
        <w:rPr>
          <w:b/>
          <w:bCs/>
        </w:rPr>
        <w:fldChar w:fldCharType="separate"/>
      </w:r>
      <w:r w:rsidR="00C566EA" w:rsidRPr="00DE1BD4">
        <w:rPr>
          <w:b/>
          <w:bCs/>
        </w:rPr>
        <w:t>World Food Program (WFP) – Emergency Telecommunications Cluster (ETC)</w:t>
      </w:r>
      <w:r w:rsidRPr="00DE1BD4">
        <w:rPr>
          <w:b/>
          <w:bCs/>
        </w:rPr>
        <w:fldChar w:fldCharType="end"/>
      </w:r>
    </w:p>
    <w:p w14:paraId="1A3070DA" w14:textId="6EEE6C62" w:rsidR="00126376" w:rsidRPr="00DE1BD4" w:rsidRDefault="00126376" w:rsidP="00126376">
      <w:pPr>
        <w:rPr>
          <w:b/>
          <w:i/>
          <w:iCs/>
        </w:rPr>
      </w:pPr>
      <w:bookmarkStart w:id="419" w:name="_Hlk116846442"/>
      <w:r w:rsidRPr="00DE1BD4">
        <w:rPr>
          <w:b/>
          <w:i/>
          <w:iCs/>
        </w:rPr>
        <w:t xml:space="preserve">Implementation Task </w:t>
      </w:r>
      <w:r w:rsidR="008F6309" w:rsidRPr="00DE1BD4">
        <w:rPr>
          <w:b/>
          <w:i/>
          <w:iCs/>
        </w:rPr>
        <w:t>7</w:t>
      </w:r>
      <w:r w:rsidRPr="00DE1BD4">
        <w:rPr>
          <w:b/>
          <w:i/>
          <w:iCs/>
        </w:rPr>
        <w:t>:</w:t>
      </w:r>
    </w:p>
    <w:p w14:paraId="7B6CCAC6" w14:textId="5C623BF3" w:rsidR="00126376" w:rsidRPr="00DE1BD4" w:rsidRDefault="00126376" w:rsidP="00126376">
      <w:pPr>
        <w:rPr>
          <w:i/>
          <w:iCs/>
        </w:rPr>
      </w:pPr>
      <w:r w:rsidRPr="00DE1BD4">
        <w:rPr>
          <w:i/>
          <w:iCs/>
          <w:color w:val="000000"/>
        </w:rPr>
        <w:t xml:space="preserve">As a non-signatory to the Tampere Convention, the relevant government agencies or entities in </w:t>
      </w:r>
      <w:r w:rsidR="00FE2611">
        <w:rPr>
          <w:i/>
          <w:iCs/>
          <w:color w:val="000000"/>
        </w:rPr>
        <w:t>The Gambia</w:t>
      </w:r>
      <w:r w:rsidRPr="00DE1BD4">
        <w:rPr>
          <w:i/>
          <w:iCs/>
          <w:color w:val="000000"/>
        </w:rPr>
        <w:t xml:space="preserve">, including the customs authority, should review existing regulations to simplify or create exemptions to any regulation that prevents the use of telecom/ICT resources for international aid to allow for </w:t>
      </w:r>
      <w:r w:rsidR="00FE2611">
        <w:rPr>
          <w:i/>
          <w:iCs/>
          <w:color w:val="000000"/>
        </w:rPr>
        <w:t>The Gambia</w:t>
      </w:r>
      <w:r w:rsidRPr="00DE1BD4">
        <w:rPr>
          <w:i/>
          <w:iCs/>
          <w:color w:val="000000"/>
        </w:rPr>
        <w:t xml:space="preserve"> to become a signatory and ensure effective implementation of the Convention</w:t>
      </w:r>
    </w:p>
    <w:p w14:paraId="5A3C3616" w14:textId="39869772" w:rsidR="00126376" w:rsidRPr="00DE1BD4" w:rsidRDefault="00126376" w:rsidP="00126376">
      <w:pPr>
        <w:rPr>
          <w:i/>
          <w:iCs/>
        </w:rPr>
      </w:pPr>
      <w:r w:rsidRPr="00DE1BD4">
        <w:rPr>
          <w:i/>
          <w:iCs/>
        </w:rPr>
        <w:t>Continue to maintain contacts in and work in co-operation with different international agencies, such as the International Telecommunications Union (ITU), the ETC (Emergency Telecommunications Cluster), other international bodies and with regional partners on issues related to preparedness and response to disasters or emergencies.</w:t>
      </w:r>
    </w:p>
    <w:p w14:paraId="01EDFDAC" w14:textId="77777777" w:rsidR="00B26261" w:rsidRDefault="00B26261">
      <w:pPr>
        <w:jc w:val="left"/>
        <w:rPr>
          <w:color w:val="2F5496"/>
          <w:sz w:val="38"/>
        </w:rPr>
      </w:pPr>
      <w:bookmarkStart w:id="420" w:name="_1opuj5n"/>
      <w:bookmarkStart w:id="421" w:name="_Toc90826027"/>
      <w:bookmarkStart w:id="422" w:name="_Toc91172682"/>
      <w:bookmarkStart w:id="423" w:name="_Toc91185569"/>
      <w:bookmarkEnd w:id="419"/>
      <w:bookmarkEnd w:id="420"/>
      <w:r>
        <w:br w:type="page"/>
      </w:r>
    </w:p>
    <w:p w14:paraId="29A26073" w14:textId="364B4DA2" w:rsidR="00BF2580" w:rsidRPr="00DE1BD4" w:rsidRDefault="00923A82" w:rsidP="00501281">
      <w:pPr>
        <w:pStyle w:val="NoNumber"/>
        <w:jc w:val="center"/>
        <w:rPr>
          <w:sz w:val="24"/>
        </w:rPr>
      </w:pPr>
      <w:bookmarkStart w:id="424" w:name="_Toc181885826"/>
      <w:r w:rsidRPr="00DE1BD4">
        <w:t>Preparedness Phase</w:t>
      </w:r>
      <w:bookmarkEnd w:id="421"/>
      <w:bookmarkEnd w:id="422"/>
      <w:bookmarkEnd w:id="423"/>
      <w:bookmarkEnd w:id="424"/>
    </w:p>
    <w:p w14:paraId="3AD7D52C" w14:textId="4AB482EB" w:rsidR="00047F4F" w:rsidRPr="00DE1BD4" w:rsidRDefault="00051C9F" w:rsidP="00047F4F">
      <w:pPr>
        <w:pStyle w:val="Heading1"/>
      </w:pPr>
      <w:bookmarkStart w:id="425" w:name="_48pi1tg"/>
      <w:bookmarkStart w:id="426" w:name="_Toc90758097"/>
      <w:bookmarkStart w:id="427" w:name="_Toc90758263"/>
      <w:bookmarkStart w:id="428" w:name="_Toc90811305"/>
      <w:bookmarkStart w:id="429" w:name="_Toc90811476"/>
      <w:bookmarkStart w:id="430" w:name="_Toc90817147"/>
      <w:bookmarkStart w:id="431" w:name="_Toc90817453"/>
      <w:bookmarkStart w:id="432" w:name="_Toc90825159"/>
      <w:bookmarkStart w:id="433" w:name="_Toc90825301"/>
      <w:bookmarkStart w:id="434" w:name="_Toc90825469"/>
      <w:bookmarkStart w:id="435" w:name="_Toc90825611"/>
      <w:bookmarkStart w:id="436" w:name="_Toc90825905"/>
      <w:bookmarkStart w:id="437" w:name="_Toc90758108"/>
      <w:bookmarkStart w:id="438" w:name="_Toc90758274"/>
      <w:bookmarkStart w:id="439" w:name="_Toc90811315"/>
      <w:bookmarkStart w:id="440" w:name="_Toc90811486"/>
      <w:bookmarkStart w:id="441" w:name="_Toc90817157"/>
      <w:bookmarkStart w:id="442" w:name="_Toc90817463"/>
      <w:bookmarkStart w:id="443" w:name="_Toc90825169"/>
      <w:bookmarkStart w:id="444" w:name="_Toc90825311"/>
      <w:bookmarkStart w:id="445" w:name="_Toc90825479"/>
      <w:bookmarkStart w:id="446" w:name="_Toc90825621"/>
      <w:bookmarkStart w:id="447" w:name="_Toc90825915"/>
      <w:bookmarkStart w:id="448" w:name="_2nusc19"/>
      <w:bookmarkStart w:id="449" w:name="_1302m92"/>
      <w:bookmarkStart w:id="450" w:name="_Toc90825919"/>
      <w:bookmarkStart w:id="451" w:name="_Toc90826031"/>
      <w:bookmarkStart w:id="452" w:name="_Toc91172686"/>
      <w:bookmarkStart w:id="453" w:name="_Ref91181611"/>
      <w:bookmarkStart w:id="454" w:name="_Ref91181616"/>
      <w:bookmarkStart w:id="455" w:name="_Toc91185573"/>
      <w:bookmarkStart w:id="456" w:name="_Toc181885827"/>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DE1BD4">
        <w:t>Early Warning</w:t>
      </w:r>
      <w:r w:rsidR="000D2971" w:rsidRPr="00DE1BD4">
        <w:t xml:space="preserve"> and Alert</w:t>
      </w:r>
      <w:r w:rsidRPr="00DE1BD4">
        <w:t xml:space="preserve"> Systems</w:t>
      </w:r>
      <w:bookmarkEnd w:id="450"/>
      <w:bookmarkEnd w:id="451"/>
      <w:bookmarkEnd w:id="452"/>
      <w:bookmarkEnd w:id="453"/>
      <w:bookmarkEnd w:id="454"/>
      <w:bookmarkEnd w:id="455"/>
      <w:bookmarkEnd w:id="456"/>
    </w:p>
    <w:p w14:paraId="0BD76F8C" w14:textId="39DBF443" w:rsidR="00FE53C3" w:rsidRPr="00DE1BD4" w:rsidRDefault="00FE53C3" w:rsidP="004366F8">
      <w:pPr>
        <w:rPr>
          <w:i/>
          <w:iCs/>
        </w:rPr>
      </w:pPr>
      <w:r w:rsidRPr="00DE1BD4">
        <w:rPr>
          <w:i/>
          <w:iCs/>
        </w:rPr>
        <w:t>Each Member State should assess, develop and/or enhance existing emergency alert and EWS, including surveillance and monitoring systems for probable threats prior to the occurrence of disasters and/or emergencies and solutions for warning and alerting the public through using different means of communications</w:t>
      </w:r>
      <w:r w:rsidR="004366F8" w:rsidRPr="00DE1BD4">
        <w:rPr>
          <w:i/>
          <w:iCs/>
        </w:rPr>
        <w:t>.</w:t>
      </w:r>
    </w:p>
    <w:p w14:paraId="6549581F" w14:textId="77777777" w:rsidR="002160E7" w:rsidRPr="002160E7" w:rsidRDefault="002160E7" w:rsidP="002160E7">
      <w:pPr>
        <w:jc w:val="center"/>
        <w:rPr>
          <w:b/>
          <w:bCs/>
        </w:rPr>
      </w:pPr>
      <w:r w:rsidRPr="002160E7">
        <w:rPr>
          <w:b/>
          <w:bCs/>
          <w:highlight w:val="yellow"/>
        </w:rPr>
        <w:t>To be updated following stakeholder consultation</w:t>
      </w:r>
    </w:p>
    <w:p w14:paraId="398EA056" w14:textId="76F8EF71" w:rsidR="00824FED" w:rsidRPr="00DE1BD4" w:rsidRDefault="00867304" w:rsidP="00D355D9">
      <w:r w:rsidRPr="00DE1BD4">
        <w:t xml:space="preserve">Establishing and improving </w:t>
      </w:r>
      <w:r w:rsidR="00742251" w:rsidRPr="00DE1BD4">
        <w:t>early</w:t>
      </w:r>
      <w:r w:rsidRPr="00DE1BD4">
        <w:t xml:space="preserve"> warning systems is identified as a top priority </w:t>
      </w:r>
      <w:r w:rsidR="00D355D9" w:rsidRPr="00DE1BD4">
        <w:t xml:space="preserve">issue under the </w:t>
      </w:r>
      <w:r w:rsidR="006E105F" w:rsidRPr="00DE1BD4">
        <w:t xml:space="preserve">UN EW4All initiative. </w:t>
      </w:r>
      <w:r w:rsidR="00742251" w:rsidRPr="00DE1BD4">
        <w:t xml:space="preserve">The importance of early warning information to reduce disaster risks by allowing stakeholders to make early decisions and take early action is well recognised </w:t>
      </w:r>
      <w:r w:rsidR="00097F1C" w:rsidRPr="00DE1BD4">
        <w:t xml:space="preserve">and therefore </w:t>
      </w:r>
      <w:r w:rsidR="00742251" w:rsidRPr="00DE1BD4">
        <w:t>clarification</w:t>
      </w:r>
      <w:r w:rsidR="008E47AF" w:rsidRPr="00DE1BD4">
        <w:t xml:space="preserve"> </w:t>
      </w:r>
      <w:r w:rsidR="00742251" w:rsidRPr="00DE1BD4">
        <w:t>and</w:t>
      </w:r>
      <w:r w:rsidR="008E47AF" w:rsidRPr="00DE1BD4">
        <w:t xml:space="preserve"> implementation of an E</w:t>
      </w:r>
      <w:r w:rsidR="00E877C7">
        <w:t xml:space="preserve">arly </w:t>
      </w:r>
      <w:r w:rsidR="008E47AF" w:rsidRPr="00DE1BD4">
        <w:t>W</w:t>
      </w:r>
      <w:r w:rsidR="00E877C7">
        <w:t xml:space="preserve">arning </w:t>
      </w:r>
      <w:r w:rsidR="008E47AF" w:rsidRPr="00DE1BD4">
        <w:t>S</w:t>
      </w:r>
      <w:r w:rsidR="00E877C7">
        <w:t>ystem (EWS)</w:t>
      </w:r>
      <w:r w:rsidR="008E47AF" w:rsidRPr="00DE1BD4">
        <w:t xml:space="preserve"> is a priority </w:t>
      </w:r>
      <w:r w:rsidR="00097F1C" w:rsidRPr="00DE1BD4">
        <w:t xml:space="preserve">NETP </w:t>
      </w:r>
      <w:r w:rsidR="008E47AF" w:rsidRPr="00DE1BD4">
        <w:t>implementation task</w:t>
      </w:r>
      <w:r w:rsidR="008C1944" w:rsidRPr="00DE1BD4">
        <w:t>.</w:t>
      </w:r>
    </w:p>
    <w:p w14:paraId="16C3A73F" w14:textId="66338FAE" w:rsidR="00990EE5" w:rsidRPr="00DE1BD4" w:rsidRDefault="00D02B96" w:rsidP="00990EE5">
      <w:r>
        <w:t>Developing and implementing any</w:t>
      </w:r>
      <w:r w:rsidR="00420C25" w:rsidRPr="00DE1BD4">
        <w:t xml:space="preserve"> EWS will rely on key technical expert</w:t>
      </w:r>
      <w:r>
        <w:t>s</w:t>
      </w:r>
      <w:r w:rsidR="00420C25" w:rsidRPr="00DE1BD4">
        <w:t xml:space="preserve"> and organisations responsible for scientific data collection and knowledge. Such organisations include:</w:t>
      </w:r>
    </w:p>
    <w:p w14:paraId="7AB4CAC2" w14:textId="65B29DD8" w:rsidR="00990EE5" w:rsidRPr="00DE1BD4" w:rsidRDefault="00990EE5" w:rsidP="00963CF3">
      <w:pPr>
        <w:pStyle w:val="ListParagraph"/>
        <w:numPr>
          <w:ilvl w:val="0"/>
          <w:numId w:val="24"/>
        </w:numPr>
      </w:pPr>
      <w:r w:rsidRPr="00DE1BD4">
        <w:t>t</w:t>
      </w:r>
      <w:r w:rsidR="00420C25" w:rsidRPr="00DE1BD4">
        <w:t>he Meteorological Services</w:t>
      </w:r>
    </w:p>
    <w:p w14:paraId="3C3829F2" w14:textId="105E637A" w:rsidR="00990EE5" w:rsidRPr="00DE1BD4" w:rsidRDefault="00420C25" w:rsidP="00963CF3">
      <w:pPr>
        <w:pStyle w:val="ListParagraph"/>
        <w:numPr>
          <w:ilvl w:val="0"/>
          <w:numId w:val="24"/>
        </w:numPr>
      </w:pPr>
      <w:r w:rsidRPr="00DE1BD4">
        <w:t>the Hydrology Department</w:t>
      </w:r>
    </w:p>
    <w:p w14:paraId="597F61B9" w14:textId="73C36799" w:rsidR="00E55C1B" w:rsidRPr="00DE1BD4" w:rsidRDefault="00420C25" w:rsidP="00963CF3">
      <w:pPr>
        <w:pStyle w:val="ListParagraph"/>
        <w:numPr>
          <w:ilvl w:val="0"/>
          <w:numId w:val="24"/>
        </w:numPr>
      </w:pPr>
      <w:r w:rsidRPr="00DE1BD4">
        <w:t xml:space="preserve">the </w:t>
      </w:r>
      <w:r w:rsidR="00F76F81">
        <w:t>Geotechnical Agencies;</w:t>
      </w:r>
      <w:r w:rsidRPr="00DE1BD4">
        <w:t xml:space="preserve"> as well as </w:t>
      </w:r>
    </w:p>
    <w:p w14:paraId="36EBA105" w14:textId="4B9DD70C" w:rsidR="006870BD" w:rsidRPr="00DE1BD4" w:rsidRDefault="00F76F81" w:rsidP="00963CF3">
      <w:pPr>
        <w:pStyle w:val="ListParagraph"/>
        <w:numPr>
          <w:ilvl w:val="0"/>
          <w:numId w:val="24"/>
        </w:numPr>
      </w:pPr>
      <w:r>
        <w:t>E</w:t>
      </w:r>
      <w:r w:rsidR="00420C25" w:rsidRPr="00DE1BD4">
        <w:t>lectronic sources such as those provided by United Nations Operational Satellite Applications (UNOSAT) and other international and regional information sources among others.</w:t>
      </w:r>
      <w:r w:rsidR="006870BD" w:rsidRPr="00DE1BD4">
        <w:t xml:space="preserve"> </w:t>
      </w:r>
    </w:p>
    <w:p w14:paraId="02FC3EA7" w14:textId="77777777" w:rsidR="00D02B96" w:rsidRPr="00DE1BD4" w:rsidRDefault="00D02B96" w:rsidP="00D02B96">
      <w:r w:rsidRPr="00DE1BD4">
        <w:t>This identifies the EWS capabilities as being:</w:t>
      </w:r>
    </w:p>
    <w:p w14:paraId="21FC4D1C" w14:textId="77777777" w:rsidR="00D02B96" w:rsidRPr="00DE1BD4" w:rsidRDefault="00D02B96" w:rsidP="00963CF3">
      <w:pPr>
        <w:pStyle w:val="ListParagraph"/>
        <w:numPr>
          <w:ilvl w:val="0"/>
          <w:numId w:val="42"/>
        </w:numPr>
      </w:pPr>
      <w:r w:rsidRPr="00DE1BD4">
        <w:t>the interpretation of disaster risk information</w:t>
      </w:r>
    </w:p>
    <w:p w14:paraId="6726E6BD" w14:textId="77777777" w:rsidR="00D02B96" w:rsidRPr="00DE1BD4" w:rsidRDefault="00D02B96" w:rsidP="00963CF3">
      <w:pPr>
        <w:pStyle w:val="ListParagraph"/>
        <w:numPr>
          <w:ilvl w:val="0"/>
          <w:numId w:val="42"/>
        </w:numPr>
      </w:pPr>
      <w:r w:rsidRPr="00DE1BD4">
        <w:t>hazard and risk mapping</w:t>
      </w:r>
    </w:p>
    <w:p w14:paraId="5A6EE103" w14:textId="77777777" w:rsidR="00D02B96" w:rsidRPr="00DE1BD4" w:rsidRDefault="00D02B96" w:rsidP="00963CF3">
      <w:pPr>
        <w:pStyle w:val="ListParagraph"/>
        <w:numPr>
          <w:ilvl w:val="0"/>
          <w:numId w:val="42"/>
        </w:numPr>
      </w:pPr>
      <w:r w:rsidRPr="00DE1BD4">
        <w:t>tracking, monitoring and forecasting impending events</w:t>
      </w:r>
    </w:p>
    <w:p w14:paraId="6ABB0FB2" w14:textId="77777777" w:rsidR="00D02B96" w:rsidRPr="00DE1BD4" w:rsidRDefault="00D02B96" w:rsidP="00963CF3">
      <w:pPr>
        <w:pStyle w:val="ListParagraph"/>
        <w:numPr>
          <w:ilvl w:val="0"/>
          <w:numId w:val="42"/>
        </w:numPr>
      </w:pPr>
      <w:r w:rsidRPr="00DE1BD4">
        <w:t>processing and disseminating understandable warnings to political authorities and the population; and</w:t>
      </w:r>
    </w:p>
    <w:p w14:paraId="2556172D" w14:textId="77777777" w:rsidR="00D02B96" w:rsidRPr="00DE1BD4" w:rsidRDefault="00D02B96" w:rsidP="00963CF3">
      <w:pPr>
        <w:pStyle w:val="ListParagraph"/>
        <w:numPr>
          <w:ilvl w:val="0"/>
          <w:numId w:val="42"/>
        </w:numPr>
      </w:pPr>
      <w:r w:rsidRPr="00DE1BD4">
        <w:t>taking appropriate and timely actions in response to warnings.</w:t>
      </w:r>
    </w:p>
    <w:p w14:paraId="018DD7AF" w14:textId="6D81C223" w:rsidR="00C46E2F" w:rsidRPr="00DE1BD4" w:rsidRDefault="00C46E2F" w:rsidP="00C46E2F">
      <w:pPr>
        <w:pStyle w:val="Heading2"/>
      </w:pPr>
      <w:bookmarkStart w:id="457" w:name="_Toc181885828"/>
      <w:bookmarkStart w:id="458" w:name="_Ref128220926"/>
      <w:bookmarkStart w:id="459" w:name="_Ref128220948"/>
      <w:r w:rsidRPr="00DE1BD4">
        <w:t>Early Warning System Architecture</w:t>
      </w:r>
      <w:bookmarkEnd w:id="457"/>
    </w:p>
    <w:p w14:paraId="535F6BA1" w14:textId="77777777" w:rsidR="00C46E2F" w:rsidRPr="00DE1BD4" w:rsidRDefault="00C46E2F" w:rsidP="00C46E2F">
      <w:pPr>
        <w:rPr>
          <w:shd w:val="clear" w:color="auto" w:fill="FFFFFF"/>
        </w:rPr>
      </w:pPr>
      <w:r w:rsidRPr="00DE1BD4">
        <w:rPr>
          <w:shd w:val="clear" w:color="auto" w:fill="FFFFFF"/>
        </w:rPr>
        <w:t>There are three key components of an early warning system that must be considered to ensure the effective input, message and delivery. These inputs are</w:t>
      </w:r>
    </w:p>
    <w:p w14:paraId="0EB0DE20" w14:textId="77777777" w:rsidR="00C46E2F" w:rsidRPr="00DE1BD4" w:rsidRDefault="00C46E2F" w:rsidP="00963CF3">
      <w:pPr>
        <w:pStyle w:val="ListParagraph"/>
        <w:numPr>
          <w:ilvl w:val="0"/>
          <w:numId w:val="36"/>
        </w:numPr>
        <w:rPr>
          <w:shd w:val="clear" w:color="auto" w:fill="FFFFFF"/>
        </w:rPr>
      </w:pPr>
      <w:r w:rsidRPr="00DE1BD4">
        <w:rPr>
          <w:shd w:val="clear" w:color="auto" w:fill="FFFFFF"/>
        </w:rPr>
        <w:t>Monitoring Systems</w:t>
      </w:r>
    </w:p>
    <w:p w14:paraId="324634E9" w14:textId="77777777" w:rsidR="00C46E2F" w:rsidRPr="00DE1BD4" w:rsidRDefault="00C46E2F" w:rsidP="00963CF3">
      <w:pPr>
        <w:pStyle w:val="ListParagraph"/>
        <w:numPr>
          <w:ilvl w:val="0"/>
          <w:numId w:val="36"/>
        </w:numPr>
        <w:rPr>
          <w:shd w:val="clear" w:color="auto" w:fill="FFFFFF"/>
        </w:rPr>
      </w:pPr>
      <w:r w:rsidRPr="00DE1BD4">
        <w:rPr>
          <w:shd w:val="clear" w:color="auto" w:fill="FFFFFF"/>
        </w:rPr>
        <w:t>Message Creation System</w:t>
      </w:r>
    </w:p>
    <w:p w14:paraId="4A68ACD4" w14:textId="77777777" w:rsidR="00C46E2F" w:rsidRPr="00DE1BD4" w:rsidRDefault="00C46E2F" w:rsidP="00963CF3">
      <w:pPr>
        <w:pStyle w:val="ListParagraph"/>
        <w:numPr>
          <w:ilvl w:val="0"/>
          <w:numId w:val="36"/>
        </w:numPr>
        <w:rPr>
          <w:shd w:val="clear" w:color="auto" w:fill="FFFFFF"/>
        </w:rPr>
      </w:pPr>
      <w:r w:rsidRPr="00DE1BD4">
        <w:rPr>
          <w:shd w:val="clear" w:color="auto" w:fill="FFFFFF"/>
        </w:rPr>
        <w:t>Alerting or Distribution System</w:t>
      </w:r>
    </w:p>
    <w:p w14:paraId="2CBB2738" w14:textId="2CC88DC5" w:rsidR="00C46E2F" w:rsidRPr="00DE1BD4" w:rsidRDefault="00C46E2F" w:rsidP="00C46E2F">
      <w:pPr>
        <w:rPr>
          <w:shd w:val="clear" w:color="auto" w:fill="FFFFFF"/>
        </w:rPr>
      </w:pPr>
      <w:r w:rsidRPr="00DE1BD4">
        <w:rPr>
          <w:shd w:val="clear" w:color="auto" w:fill="FFFFFF"/>
        </w:rPr>
        <w:t>Whilst an early warning system can be implemented without a holistic system</w:t>
      </w:r>
      <w:r w:rsidR="00D97B03" w:rsidRPr="00DE1BD4">
        <w:rPr>
          <w:shd w:val="clear" w:color="auto" w:fill="FFFFFF"/>
        </w:rPr>
        <w:t>,</w:t>
      </w:r>
      <w:r w:rsidRPr="00DE1BD4">
        <w:rPr>
          <w:shd w:val="clear" w:color="auto" w:fill="FFFFFF"/>
        </w:rPr>
        <w:t xml:space="preserve"> integrating these three components, its effectiveness and efficiency is limited. It is only when all three components are integrated together that a true </w:t>
      </w:r>
      <w:r w:rsidRPr="00DE1BD4">
        <w:rPr>
          <w:i/>
          <w:iCs/>
          <w:shd w:val="clear" w:color="auto" w:fill="FFFFFF"/>
        </w:rPr>
        <w:t>Early Warning System 4 All</w:t>
      </w:r>
      <w:r w:rsidRPr="00DE1BD4">
        <w:rPr>
          <w:shd w:val="clear" w:color="auto" w:fill="FFFFFF"/>
        </w:rPr>
        <w:t xml:space="preserve"> is implemented.</w:t>
      </w:r>
    </w:p>
    <w:p w14:paraId="22DC5FE5" w14:textId="4C125384" w:rsidR="00C46E2F" w:rsidRPr="00DE1BD4" w:rsidRDefault="000A37C5" w:rsidP="00C46E2F">
      <w:pPr>
        <w:rPr>
          <w:shd w:val="clear" w:color="auto" w:fill="FFFFFF"/>
        </w:rPr>
      </w:pPr>
      <w:r w:rsidRPr="00DE1BD4">
        <w:rPr>
          <w:shd w:val="clear" w:color="auto" w:fill="FFFFFF"/>
        </w:rPr>
        <w:fldChar w:fldCharType="begin"/>
      </w:r>
      <w:r w:rsidRPr="00DE1BD4">
        <w:rPr>
          <w:shd w:val="clear" w:color="auto" w:fill="FFFFFF"/>
        </w:rPr>
        <w:instrText xml:space="preserve"> REF _Ref168494806 \h </w:instrText>
      </w:r>
      <w:r w:rsidRPr="00DE1BD4">
        <w:rPr>
          <w:shd w:val="clear" w:color="auto" w:fill="FFFFFF"/>
        </w:rPr>
      </w:r>
      <w:r w:rsidRPr="00DE1BD4">
        <w:rPr>
          <w:shd w:val="clear" w:color="auto" w:fill="FFFFFF"/>
        </w:rPr>
        <w:fldChar w:fldCharType="separate"/>
      </w:r>
      <w:r w:rsidR="0045505F" w:rsidRPr="00DE1BD4">
        <w:t xml:space="preserve">Figure </w:t>
      </w:r>
      <w:r w:rsidR="0045505F">
        <w:rPr>
          <w:noProof/>
        </w:rPr>
        <w:t>22</w:t>
      </w:r>
      <w:r w:rsidRPr="00DE1BD4">
        <w:rPr>
          <w:shd w:val="clear" w:color="auto" w:fill="FFFFFF"/>
        </w:rPr>
        <w:fldChar w:fldCharType="end"/>
      </w:r>
      <w:r w:rsidRPr="00DE1BD4">
        <w:rPr>
          <w:shd w:val="clear" w:color="auto" w:fill="FFFFFF"/>
        </w:rPr>
        <w:t xml:space="preserve"> below provides a </w:t>
      </w:r>
      <w:r w:rsidR="00D564A2" w:rsidRPr="00DE1BD4">
        <w:rPr>
          <w:shd w:val="clear" w:color="auto" w:fill="FFFFFF"/>
        </w:rPr>
        <w:t>top-level</w:t>
      </w:r>
      <w:r w:rsidRPr="00DE1BD4">
        <w:rPr>
          <w:shd w:val="clear" w:color="auto" w:fill="FFFFFF"/>
        </w:rPr>
        <w:t xml:space="preserve"> view of an EWS architecture that </w:t>
      </w:r>
      <w:r w:rsidR="00D564A2" w:rsidRPr="00DE1BD4">
        <w:rPr>
          <w:shd w:val="clear" w:color="auto" w:fill="FFFFFF"/>
        </w:rPr>
        <w:t>considers the three components, in this case; live feeds are monitoring, control room and alert aggregator are the message system and communication channels are the alerting distribution system.</w:t>
      </w:r>
    </w:p>
    <w:p w14:paraId="13DEC234" w14:textId="5FB2D816" w:rsidR="00D564A2" w:rsidRPr="00DE1BD4" w:rsidRDefault="003A732E" w:rsidP="00C46E2F">
      <w:pPr>
        <w:rPr>
          <w:shd w:val="clear" w:color="auto" w:fill="FFFFFF"/>
        </w:rPr>
      </w:pPr>
      <w:r w:rsidRPr="00DE1BD4">
        <w:rPr>
          <w:shd w:val="clear" w:color="auto" w:fill="FFFFFF"/>
        </w:rPr>
        <w:t>Now</w:t>
      </w:r>
      <w:r w:rsidR="00B30E44" w:rsidRPr="00DE1BD4">
        <w:rPr>
          <w:shd w:val="clear" w:color="auto" w:fill="FFFFFF"/>
        </w:rPr>
        <w:t>, if a</w:t>
      </w:r>
      <w:r w:rsidRPr="00DE1BD4">
        <w:rPr>
          <w:shd w:val="clear" w:color="auto" w:fill="FFFFFF"/>
        </w:rPr>
        <w:t>n</w:t>
      </w:r>
      <w:r w:rsidR="00B30E44" w:rsidRPr="00DE1BD4">
        <w:rPr>
          <w:shd w:val="clear" w:color="auto" w:fill="FFFFFF"/>
        </w:rPr>
        <w:t xml:space="preserve"> EWS</w:t>
      </w:r>
      <w:r w:rsidR="001B479F" w:rsidRPr="00DE1BD4">
        <w:rPr>
          <w:shd w:val="clear" w:color="auto" w:fill="FFFFFF"/>
        </w:rPr>
        <w:t xml:space="preserve"> </w:t>
      </w:r>
      <w:r w:rsidR="00B6593A" w:rsidRPr="00DE1BD4">
        <w:rPr>
          <w:shd w:val="clear" w:color="auto" w:fill="FFFFFF"/>
        </w:rPr>
        <w:t>exists</w:t>
      </w:r>
      <w:r w:rsidR="001B479F" w:rsidRPr="00DE1BD4">
        <w:rPr>
          <w:shd w:val="clear" w:color="auto" w:fill="FFFFFF"/>
        </w:rPr>
        <w:t xml:space="preserve"> and is operational it is standalone and is not aggregated into a larger system. The objective is to</w:t>
      </w:r>
      <w:r w:rsidR="00B6593A" w:rsidRPr="00DE1BD4">
        <w:rPr>
          <w:shd w:val="clear" w:color="auto" w:fill="FFFFFF"/>
        </w:rPr>
        <w:t xml:space="preserve"> audit, consolidate and aggregate any EWS system in place into a single solution for </w:t>
      </w:r>
      <w:r w:rsidR="00FE2611">
        <w:rPr>
          <w:shd w:val="clear" w:color="auto" w:fill="FFFFFF"/>
        </w:rPr>
        <w:t>The Gambia</w:t>
      </w:r>
      <w:r w:rsidR="00B6593A" w:rsidRPr="00DE1BD4">
        <w:rPr>
          <w:shd w:val="clear" w:color="auto" w:fill="FFFFFF"/>
        </w:rPr>
        <w:t>.</w:t>
      </w:r>
    </w:p>
    <w:p w14:paraId="62D7B84B" w14:textId="28D8BC69" w:rsidR="00C46E2F" w:rsidRPr="00DE1BD4" w:rsidRDefault="00C46E2F" w:rsidP="00C46E2F">
      <w:pPr>
        <w:pStyle w:val="Caption"/>
        <w:jc w:val="center"/>
      </w:pPr>
      <w:bookmarkStart w:id="460" w:name="_Ref168494806"/>
      <w:bookmarkStart w:id="461" w:name="_Toc181885880"/>
      <w:r w:rsidRPr="00DE1BD4">
        <w:t xml:space="preserve">Figure </w:t>
      </w:r>
      <w:r w:rsidRPr="00DE1BD4">
        <w:fldChar w:fldCharType="begin"/>
      </w:r>
      <w:r w:rsidRPr="00DE1BD4">
        <w:instrText xml:space="preserve"> SEQ Figure \* ARABIC </w:instrText>
      </w:r>
      <w:r w:rsidRPr="00DE1BD4">
        <w:fldChar w:fldCharType="separate"/>
      </w:r>
      <w:r w:rsidR="003F405A">
        <w:rPr>
          <w:noProof/>
        </w:rPr>
        <w:t>18</w:t>
      </w:r>
      <w:r w:rsidRPr="00DE1BD4">
        <w:fldChar w:fldCharType="end"/>
      </w:r>
      <w:bookmarkEnd w:id="460"/>
      <w:r w:rsidRPr="00DE1BD4">
        <w:t xml:space="preserve"> - EWS Top Level Architecture</w:t>
      </w:r>
      <w:r w:rsidR="00A03FB7" w:rsidRPr="0045782B">
        <w:rPr>
          <w:rStyle w:val="FootnoteReference"/>
        </w:rPr>
        <w:footnoteReference w:id="118"/>
      </w:r>
      <w:bookmarkEnd w:id="461"/>
    </w:p>
    <w:p w14:paraId="2970B485" w14:textId="3C0E4FF0" w:rsidR="00C46E2F" w:rsidRPr="00DE1BD4" w:rsidRDefault="00C46E2F" w:rsidP="00C46E2F">
      <w:r w:rsidRPr="00DE1BD4">
        <w:rPr>
          <w:noProof/>
        </w:rPr>
        <w:drawing>
          <wp:inline distT="0" distB="0" distL="0" distR="0" wp14:anchorId="2A50F619" wp14:editId="447AF4CE">
            <wp:extent cx="5401310" cy="2847340"/>
            <wp:effectExtent l="0" t="0" r="8890" b="0"/>
            <wp:docPr id="41435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2847340"/>
                    </a:xfrm>
                    <a:prstGeom prst="rect">
                      <a:avLst/>
                    </a:prstGeom>
                    <a:noFill/>
                  </pic:spPr>
                </pic:pic>
              </a:graphicData>
            </a:graphic>
          </wp:inline>
        </w:drawing>
      </w:r>
    </w:p>
    <w:p w14:paraId="1A1A21A9" w14:textId="60D5B501" w:rsidR="00E6159B" w:rsidRPr="00DE1BD4" w:rsidRDefault="00E334CB" w:rsidP="00C46E2F">
      <w:pPr>
        <w:pStyle w:val="Heading3"/>
      </w:pPr>
      <w:bookmarkStart w:id="462" w:name="_Toc181885829"/>
      <w:r w:rsidRPr="00DE1BD4">
        <w:t>Monitoring</w:t>
      </w:r>
      <w:bookmarkEnd w:id="458"/>
      <w:bookmarkEnd w:id="459"/>
      <w:r w:rsidR="00790751" w:rsidRPr="00DE1BD4">
        <w:t xml:space="preserve"> Systems</w:t>
      </w:r>
      <w:bookmarkEnd w:id="462"/>
    </w:p>
    <w:p w14:paraId="4FEA3C3F" w14:textId="2CD2EA60" w:rsidR="00DD165D" w:rsidRPr="00DE1BD4" w:rsidRDefault="00CD0345" w:rsidP="00E334CB">
      <w:r w:rsidRPr="00DE1BD4">
        <w:rPr>
          <w:rFonts w:asciiTheme="minorHAnsi" w:hAnsiTheme="minorHAnsi" w:cstheme="minorHAnsi"/>
        </w:rPr>
        <w:t xml:space="preserve">The </w:t>
      </w:r>
      <w:r w:rsidR="00481711" w:rsidRPr="00DE1BD4">
        <w:rPr>
          <w:rFonts w:asciiTheme="minorHAnsi" w:hAnsiTheme="minorHAnsi" w:cstheme="minorHAnsi"/>
        </w:rPr>
        <w:t xml:space="preserve">first building block of an EWS is a monitoring system.  These systems are designed to monitor </w:t>
      </w:r>
      <w:r w:rsidR="00E5613A" w:rsidRPr="00DE1BD4">
        <w:rPr>
          <w:rFonts w:asciiTheme="minorHAnsi" w:hAnsiTheme="minorHAnsi" w:cstheme="minorHAnsi"/>
        </w:rPr>
        <w:t xml:space="preserve">certain types of hazards that may impact a location. </w:t>
      </w:r>
      <w:r w:rsidR="001A190A" w:rsidRPr="00DE1BD4">
        <w:rPr>
          <w:rFonts w:asciiTheme="minorHAnsi" w:hAnsiTheme="minorHAnsi" w:cstheme="minorHAnsi"/>
        </w:rPr>
        <w:t>Consequently,</w:t>
      </w:r>
      <w:r w:rsidR="00E5613A" w:rsidRPr="00DE1BD4">
        <w:rPr>
          <w:rFonts w:asciiTheme="minorHAnsi" w:hAnsiTheme="minorHAnsi" w:cstheme="minorHAnsi"/>
        </w:rPr>
        <w:t xml:space="preserve"> the need to have accurate vulnerability maps </w:t>
      </w:r>
      <w:r w:rsidR="001A190A" w:rsidRPr="00DE1BD4">
        <w:rPr>
          <w:rFonts w:asciiTheme="minorHAnsi" w:hAnsiTheme="minorHAnsi" w:cstheme="minorHAnsi"/>
        </w:rPr>
        <w:t>helps</w:t>
      </w:r>
      <w:r w:rsidR="00E5613A" w:rsidRPr="00DE1BD4">
        <w:rPr>
          <w:rFonts w:asciiTheme="minorHAnsi" w:hAnsiTheme="minorHAnsi" w:cstheme="minorHAnsi"/>
        </w:rPr>
        <w:t xml:space="preserve"> in determining locations for these monitoring systems. There are many types of monitoring systems, but those that are likely to be implemented in </w:t>
      </w:r>
      <w:r w:rsidR="00FE2611">
        <w:rPr>
          <w:rFonts w:asciiTheme="minorHAnsi" w:hAnsiTheme="minorHAnsi" w:cstheme="minorHAnsi"/>
        </w:rPr>
        <w:t>The Gambia</w:t>
      </w:r>
      <w:r w:rsidR="00E5613A" w:rsidRPr="00DE1BD4">
        <w:rPr>
          <w:rFonts w:asciiTheme="minorHAnsi" w:hAnsiTheme="minorHAnsi" w:cstheme="minorHAnsi"/>
        </w:rPr>
        <w:t xml:space="preserve"> </w:t>
      </w:r>
      <w:r w:rsidR="002B2F13" w:rsidRPr="00DE1BD4">
        <w:rPr>
          <w:rFonts w:asciiTheme="minorHAnsi" w:hAnsiTheme="minorHAnsi" w:cstheme="minorHAnsi"/>
        </w:rPr>
        <w:t>a</w:t>
      </w:r>
      <w:r w:rsidR="00E5613A" w:rsidRPr="00DE1BD4">
        <w:rPr>
          <w:rFonts w:asciiTheme="minorHAnsi" w:hAnsiTheme="minorHAnsi" w:cstheme="minorHAnsi"/>
        </w:rPr>
        <w:t>re as outlined below.</w:t>
      </w:r>
    </w:p>
    <w:p w14:paraId="126EF606" w14:textId="55CDB02E" w:rsidR="00E334CB" w:rsidRPr="00DE1BD4" w:rsidRDefault="00E334CB" w:rsidP="00C46E2F">
      <w:pPr>
        <w:pStyle w:val="Heading4"/>
      </w:pPr>
      <w:r w:rsidRPr="00DE1BD4">
        <w:t>Flood</w:t>
      </w:r>
      <w:r w:rsidR="00B6593A" w:rsidRPr="00DE1BD4">
        <w:t>/Drought</w:t>
      </w:r>
      <w:r w:rsidRPr="00DE1BD4">
        <w:t xml:space="preserve"> Monitoring</w:t>
      </w:r>
    </w:p>
    <w:p w14:paraId="2A76F368" w14:textId="40C01286" w:rsidR="00E5613A" w:rsidRPr="00DE1BD4" w:rsidRDefault="00E5613A" w:rsidP="00E5613A">
      <w:r w:rsidRPr="00DE1BD4">
        <w:t xml:space="preserve">Flooding has been seen as </w:t>
      </w:r>
      <w:r w:rsidR="001D6C34">
        <w:t xml:space="preserve">a </w:t>
      </w:r>
      <w:r w:rsidRPr="00DE1BD4">
        <w:t xml:space="preserve">frequent disaster that strikes </w:t>
      </w:r>
      <w:r w:rsidR="00C17AC5">
        <w:t>The Gambia</w:t>
      </w:r>
      <w:r w:rsidRPr="00DE1BD4">
        <w:t xml:space="preserve">. </w:t>
      </w:r>
      <w:r w:rsidR="00EF5930" w:rsidRPr="00DE1BD4">
        <w:t>Therefore,</w:t>
      </w:r>
      <w:r w:rsidR="005F6D6C" w:rsidRPr="00DE1BD4">
        <w:t xml:space="preserve"> a</w:t>
      </w:r>
      <w:r w:rsidR="00EF5930" w:rsidRPr="00DE1BD4">
        <w:t xml:space="preserve"> </w:t>
      </w:r>
      <w:r w:rsidR="005F6D6C" w:rsidRPr="00DE1BD4">
        <w:t xml:space="preserve">consolidated flood monitoring system </w:t>
      </w:r>
      <w:r w:rsidR="00EB5CA6" w:rsidRPr="00DE1BD4">
        <w:t xml:space="preserve">is required to provide data for </w:t>
      </w:r>
      <w:r w:rsidR="00EB6EF3" w:rsidRPr="00DE1BD4">
        <w:t xml:space="preserve">the appropriate </w:t>
      </w:r>
      <w:r w:rsidR="00EF5930" w:rsidRPr="00DE1BD4">
        <w:t>Agenc</w:t>
      </w:r>
      <w:r w:rsidR="00EB6EF3" w:rsidRPr="00DE1BD4">
        <w:t>y</w:t>
      </w:r>
      <w:r w:rsidR="00EB5CA6" w:rsidRPr="00DE1BD4">
        <w:t xml:space="preserve"> to </w:t>
      </w:r>
      <w:r w:rsidR="00EB6EF3" w:rsidRPr="00DE1BD4">
        <w:t>decide</w:t>
      </w:r>
      <w:r w:rsidR="00EB5CA6" w:rsidRPr="00DE1BD4">
        <w:t xml:space="preserve"> on the likelihood of a flood event.</w:t>
      </w:r>
      <w:r w:rsidR="00EB6EF3" w:rsidRPr="00DE1BD4">
        <w:t xml:space="preserve"> This </w:t>
      </w:r>
      <w:r w:rsidR="001A190A" w:rsidRPr="00DE1BD4">
        <w:t xml:space="preserve">output </w:t>
      </w:r>
      <w:r w:rsidR="002B2F13" w:rsidRPr="00DE1BD4">
        <w:t>decision</w:t>
      </w:r>
      <w:r w:rsidR="001A190A" w:rsidRPr="00DE1BD4">
        <w:t xml:space="preserve"> feeds into the message to be disseminated.</w:t>
      </w:r>
    </w:p>
    <w:p w14:paraId="15CBC748" w14:textId="3F9CAF67" w:rsidR="00EB5CA6" w:rsidRDefault="00BA66E8" w:rsidP="00E5613A">
      <w:pPr>
        <w:rPr>
          <w:shd w:val="clear" w:color="auto" w:fill="FFFFFF"/>
        </w:rPr>
      </w:pPr>
      <w:r>
        <w:t>T</w:t>
      </w:r>
      <w:r w:rsidR="00635AE3">
        <w:t>he Gambia</w:t>
      </w:r>
      <w:r w:rsidR="00EB5CA6" w:rsidRPr="00DE1BD4">
        <w:t xml:space="preserve"> </w:t>
      </w:r>
      <w:r w:rsidR="002F4202">
        <w:t xml:space="preserve">does not appear to have a consolidated </w:t>
      </w:r>
      <w:r w:rsidR="00EB5CA6" w:rsidRPr="00DE1BD4">
        <w:t xml:space="preserve">flood monitoring system </w:t>
      </w:r>
      <w:r w:rsidR="00EA4375" w:rsidRPr="00DE1BD4">
        <w:t>implemented</w:t>
      </w:r>
      <w:r w:rsidR="00EA4375">
        <w:t xml:space="preserve"> but</w:t>
      </w:r>
      <w:r w:rsidR="0098640B">
        <w:t xml:space="preserve"> does have access to the </w:t>
      </w:r>
      <w:r w:rsidR="0098640B" w:rsidRPr="00635AE3">
        <w:rPr>
          <w:highlight w:val="yellow"/>
        </w:rPr>
        <w:t>Africa</w:t>
      </w:r>
      <w:r w:rsidR="00EA4375" w:rsidRPr="00635AE3">
        <w:rPr>
          <w:highlight w:val="yellow"/>
        </w:rPr>
        <w:t>n</w:t>
      </w:r>
      <w:r w:rsidR="0098640B" w:rsidRPr="00635AE3">
        <w:rPr>
          <w:highlight w:val="yellow"/>
        </w:rPr>
        <w:t xml:space="preserve"> Flood</w:t>
      </w:r>
      <w:r w:rsidR="00D1252A" w:rsidRPr="00635AE3">
        <w:rPr>
          <w:highlight w:val="yellow"/>
        </w:rPr>
        <w:t xml:space="preserve"> and Drought</w:t>
      </w:r>
      <w:r w:rsidR="0098640B" w:rsidRPr="00635AE3">
        <w:rPr>
          <w:highlight w:val="yellow"/>
        </w:rPr>
        <w:t xml:space="preserve"> </w:t>
      </w:r>
      <w:r w:rsidR="00D1252A" w:rsidRPr="00635AE3">
        <w:rPr>
          <w:highlight w:val="yellow"/>
        </w:rPr>
        <w:t>M</w:t>
      </w:r>
      <w:r w:rsidR="0098640B" w:rsidRPr="00635AE3">
        <w:rPr>
          <w:highlight w:val="yellow"/>
        </w:rPr>
        <w:t>onitor</w:t>
      </w:r>
      <w:r w:rsidR="00EB5CA6" w:rsidRPr="00DE1BD4">
        <w:t xml:space="preserve"> as shown in </w:t>
      </w:r>
      <w:r w:rsidR="00EF5930" w:rsidRPr="00DE1BD4">
        <w:fldChar w:fldCharType="begin"/>
      </w:r>
      <w:r w:rsidR="00EF5930" w:rsidRPr="00DE1BD4">
        <w:instrText xml:space="preserve"> REF _Ref168489606 \h </w:instrText>
      </w:r>
      <w:r w:rsidR="00EF5930" w:rsidRPr="00DE1BD4">
        <w:fldChar w:fldCharType="separate"/>
      </w:r>
      <w:r w:rsidR="0045505F" w:rsidRPr="00DE1BD4">
        <w:t xml:space="preserve">Figure </w:t>
      </w:r>
      <w:r w:rsidR="0045505F">
        <w:rPr>
          <w:noProof/>
        </w:rPr>
        <w:t>23</w:t>
      </w:r>
      <w:r w:rsidR="00EF5930" w:rsidRPr="00DE1BD4">
        <w:fldChar w:fldCharType="end"/>
      </w:r>
      <w:r w:rsidR="00EB5CA6" w:rsidRPr="00DE1BD4">
        <w:t xml:space="preserve"> below</w:t>
      </w:r>
      <w:r w:rsidR="00CE5828" w:rsidRPr="00DE1BD4">
        <w:t xml:space="preserve">, which was originally developed </w:t>
      </w:r>
      <w:r w:rsidR="00BB3416" w:rsidRPr="00DE1BD4">
        <w:t>b</w:t>
      </w:r>
      <w:r w:rsidR="00163AD1" w:rsidRPr="00DE1BD4">
        <w:rPr>
          <w:shd w:val="clear" w:color="auto" w:fill="FFFFFF"/>
        </w:rPr>
        <w:t xml:space="preserve">y Princeton Climate Institute (PCI) in collaboration with </w:t>
      </w:r>
      <w:r w:rsidR="002D5A84" w:rsidRPr="00DE1BD4">
        <w:rPr>
          <w:shd w:val="clear" w:color="auto" w:fill="FFFFFF"/>
        </w:rPr>
        <w:t xml:space="preserve">the </w:t>
      </w:r>
      <w:r w:rsidR="00163AD1" w:rsidRPr="00DE1BD4">
        <w:rPr>
          <w:shd w:val="clear" w:color="auto" w:fill="FFFFFF"/>
        </w:rPr>
        <w:t>University of Southampton and Princeton University</w:t>
      </w:r>
      <w:r w:rsidR="002D5A84" w:rsidRPr="00DE1BD4">
        <w:rPr>
          <w:shd w:val="clear" w:color="auto" w:fill="FFFFFF"/>
        </w:rPr>
        <w:t>.</w:t>
      </w:r>
      <w:r w:rsidR="00163AD1" w:rsidRPr="00DE1BD4">
        <w:rPr>
          <w:shd w:val="clear" w:color="auto" w:fill="FFFFFF"/>
        </w:rPr>
        <w:t xml:space="preserve"> The system is based on a set of ground, satellite and </w:t>
      </w:r>
      <w:r w:rsidR="002D5A84" w:rsidRPr="00DE1BD4">
        <w:rPr>
          <w:shd w:val="clear" w:color="auto" w:fill="FFFFFF"/>
        </w:rPr>
        <w:t>modelled</w:t>
      </w:r>
      <w:r w:rsidR="00163AD1" w:rsidRPr="00DE1BD4">
        <w:rPr>
          <w:shd w:val="clear" w:color="auto" w:fill="FFFFFF"/>
        </w:rPr>
        <w:t xml:space="preserve"> datasets, which are combined to provide a consistent picture of hydrological conditions close to real-time, as well as forecasts out to 7-days for floods and out to 6 months for drought</w:t>
      </w:r>
      <w:r w:rsidR="00D1252A" w:rsidRPr="0045782B">
        <w:rPr>
          <w:rStyle w:val="FootnoteReference"/>
        </w:rPr>
        <w:footnoteReference w:id="119"/>
      </w:r>
      <w:r w:rsidR="00163AD1" w:rsidRPr="00DE1BD4">
        <w:rPr>
          <w:shd w:val="clear" w:color="auto" w:fill="FFFFFF"/>
        </w:rPr>
        <w:t>.</w:t>
      </w:r>
    </w:p>
    <w:p w14:paraId="1654DFEE" w14:textId="40BA4523" w:rsidR="001442DD" w:rsidRPr="00DE1BD4" w:rsidRDefault="007727B7" w:rsidP="00E5613A">
      <w:pPr>
        <w:rPr>
          <w:color w:val="2C3E50"/>
          <w:shd w:val="clear" w:color="auto" w:fill="FFFFFF"/>
        </w:rPr>
      </w:pPr>
      <w:r>
        <w:rPr>
          <w:color w:val="2C3E50"/>
          <w:shd w:val="clear" w:color="auto" w:fill="FFFFFF"/>
        </w:rPr>
        <w:t xml:space="preserve">There are other examples of Flood monitoring Systems such as </w:t>
      </w:r>
      <w:r w:rsidR="00B60DBF">
        <w:rPr>
          <w:color w:val="2C3E50"/>
          <w:shd w:val="clear" w:color="auto" w:fill="FFFFFF"/>
        </w:rPr>
        <w:t xml:space="preserve">a </w:t>
      </w:r>
      <w:r w:rsidR="00675964" w:rsidRPr="007727B7">
        <w:rPr>
          <w:color w:val="2C3E50"/>
          <w:shd w:val="clear" w:color="auto" w:fill="FFFFFF"/>
        </w:rPr>
        <w:t>Community Flood Monitoring system</w:t>
      </w:r>
      <w:r w:rsidR="00675964">
        <w:rPr>
          <w:color w:val="2C3E50"/>
          <w:shd w:val="clear" w:color="auto" w:fill="FFFFFF"/>
        </w:rPr>
        <w:t xml:space="preserve"> known as </w:t>
      </w:r>
      <w:r w:rsidR="00B60DBF">
        <w:rPr>
          <w:color w:val="2C3E50"/>
          <w:shd w:val="clear" w:color="auto" w:fill="FFFFFF"/>
        </w:rPr>
        <w:t>Community Water Watch (CWW)</w:t>
      </w:r>
      <w:r w:rsidR="001A587B" w:rsidRPr="0045782B">
        <w:rPr>
          <w:rStyle w:val="FootnoteReference"/>
        </w:rPr>
        <w:footnoteReference w:id="120"/>
      </w:r>
      <w:r>
        <w:rPr>
          <w:color w:val="2C3E50"/>
          <w:shd w:val="clear" w:color="auto" w:fill="FFFFFF"/>
        </w:rPr>
        <w:t xml:space="preserve"> </w:t>
      </w:r>
      <w:r w:rsidR="00675964">
        <w:rPr>
          <w:color w:val="2C3E50"/>
          <w:shd w:val="clear" w:color="auto" w:fill="FFFFFF"/>
        </w:rPr>
        <w:t>implemented</w:t>
      </w:r>
      <w:r w:rsidR="00CC3FD3">
        <w:rPr>
          <w:color w:val="2C3E50"/>
          <w:shd w:val="clear" w:color="auto" w:fill="FFFFFF"/>
        </w:rPr>
        <w:t xml:space="preserve"> by </w:t>
      </w:r>
      <w:r w:rsidR="008C2CB5">
        <w:rPr>
          <w:color w:val="2C3E50"/>
          <w:shd w:val="clear" w:color="auto" w:fill="FFFFFF"/>
        </w:rPr>
        <w:t>the Tanzanian</w:t>
      </w:r>
      <w:r w:rsidR="00CC3FD3" w:rsidRPr="007727B7">
        <w:rPr>
          <w:color w:val="2C3E50"/>
          <w:shd w:val="clear" w:color="auto" w:fill="FFFFFF"/>
        </w:rPr>
        <w:t xml:space="preserve"> Red Cross </w:t>
      </w:r>
      <w:r w:rsidR="00675964">
        <w:rPr>
          <w:color w:val="2C3E50"/>
          <w:shd w:val="clear" w:color="auto" w:fill="FFFFFF"/>
        </w:rPr>
        <w:t>in</w:t>
      </w:r>
      <w:r w:rsidRPr="007727B7">
        <w:rPr>
          <w:color w:val="2C3E50"/>
          <w:shd w:val="clear" w:color="auto" w:fill="FFFFFF"/>
        </w:rPr>
        <w:t xml:space="preserve"> Dar Es Salaam</w:t>
      </w:r>
      <w:r w:rsidR="00CC3FD3">
        <w:rPr>
          <w:color w:val="2C3E50"/>
          <w:shd w:val="clear" w:color="auto" w:fill="FFFFFF"/>
        </w:rPr>
        <w:t xml:space="preserve">. </w:t>
      </w:r>
      <w:r w:rsidR="00151466">
        <w:rPr>
          <w:color w:val="2C3E50"/>
          <w:shd w:val="clear" w:color="auto" w:fill="FFFFFF"/>
        </w:rPr>
        <w:t xml:space="preserve">CWW utilises </w:t>
      </w:r>
      <w:proofErr w:type="spellStart"/>
      <w:r w:rsidR="00D734F0">
        <w:rPr>
          <w:color w:val="2C3E50"/>
          <w:shd w:val="clear" w:color="auto" w:fill="FFFFFF"/>
        </w:rPr>
        <w:t>FloodTags</w:t>
      </w:r>
      <w:proofErr w:type="spellEnd"/>
      <w:r w:rsidR="002F4681" w:rsidRPr="0045782B">
        <w:rPr>
          <w:rStyle w:val="FootnoteReference"/>
        </w:rPr>
        <w:footnoteReference w:id="121"/>
      </w:r>
      <w:r w:rsidR="00D734F0">
        <w:rPr>
          <w:color w:val="2C3E50"/>
          <w:shd w:val="clear" w:color="auto" w:fill="FFFFFF"/>
        </w:rPr>
        <w:t xml:space="preserve"> </w:t>
      </w:r>
      <w:r w:rsidR="00151466">
        <w:rPr>
          <w:color w:val="2C3E50"/>
          <w:shd w:val="clear" w:color="auto" w:fill="FFFFFF"/>
        </w:rPr>
        <w:t xml:space="preserve">through the </w:t>
      </w:r>
      <w:r w:rsidR="00D84D3E">
        <w:rPr>
          <w:color w:val="2C3E50"/>
          <w:shd w:val="clear" w:color="auto" w:fill="FFFFFF"/>
        </w:rPr>
        <w:t xml:space="preserve">monitoring of social and online media </w:t>
      </w:r>
      <w:r w:rsidR="00602B3C">
        <w:rPr>
          <w:color w:val="2C3E50"/>
          <w:shd w:val="clear" w:color="auto" w:fill="FFFFFF"/>
        </w:rPr>
        <w:t xml:space="preserve">combined with hydrometeorological data </w:t>
      </w:r>
      <w:r w:rsidR="00D84D3E">
        <w:rPr>
          <w:color w:val="2C3E50"/>
          <w:shd w:val="clear" w:color="auto" w:fill="FFFFFF"/>
        </w:rPr>
        <w:t xml:space="preserve">and </w:t>
      </w:r>
      <w:r w:rsidR="001A587B">
        <w:rPr>
          <w:color w:val="2C3E50"/>
          <w:shd w:val="clear" w:color="auto" w:fill="FFFFFF"/>
        </w:rPr>
        <w:t>analysed</w:t>
      </w:r>
      <w:r w:rsidR="00D84D3E">
        <w:rPr>
          <w:color w:val="2C3E50"/>
          <w:shd w:val="clear" w:color="auto" w:fill="FFFFFF"/>
        </w:rPr>
        <w:t xml:space="preserve"> via Artificial Intelligence, </w:t>
      </w:r>
      <w:r w:rsidR="001A587B">
        <w:rPr>
          <w:color w:val="2C3E50"/>
          <w:shd w:val="clear" w:color="auto" w:fill="FFFFFF"/>
        </w:rPr>
        <w:t xml:space="preserve">the systems can alert stakeholders of potential flood impacts, allowing the community to </w:t>
      </w:r>
      <w:r w:rsidR="006228D5">
        <w:rPr>
          <w:color w:val="2C3E50"/>
          <w:shd w:val="clear" w:color="auto" w:fill="FFFFFF"/>
        </w:rPr>
        <w:t>act</w:t>
      </w:r>
      <w:r w:rsidR="001A587B">
        <w:rPr>
          <w:color w:val="2C3E50"/>
          <w:shd w:val="clear" w:color="auto" w:fill="FFFFFF"/>
        </w:rPr>
        <w:t>.</w:t>
      </w:r>
      <w:r w:rsidR="003F4F1E">
        <w:rPr>
          <w:color w:val="2C3E50"/>
          <w:shd w:val="clear" w:color="auto" w:fill="FFFFFF"/>
        </w:rPr>
        <w:t xml:space="preserve"> This </w:t>
      </w:r>
      <w:r w:rsidR="00BF6A78">
        <w:rPr>
          <w:color w:val="2C3E50"/>
          <w:shd w:val="clear" w:color="auto" w:fill="FFFFFF"/>
        </w:rPr>
        <w:t>standalone solution is only one example of likely numerous standalone monitoring and early warning systems that are likely to be in place.</w:t>
      </w:r>
    </w:p>
    <w:p w14:paraId="07320D89" w14:textId="1772C56F" w:rsidR="00BB3416" w:rsidRPr="00DE1BD4" w:rsidRDefault="00BB3416" w:rsidP="00BB3416">
      <w:pPr>
        <w:pStyle w:val="Caption"/>
        <w:jc w:val="center"/>
      </w:pPr>
      <w:bookmarkStart w:id="463" w:name="_Ref168489606"/>
      <w:bookmarkStart w:id="464" w:name="_Toc181885881"/>
      <w:r w:rsidRPr="00DE1BD4">
        <w:t xml:space="preserve">Figure </w:t>
      </w:r>
      <w:r w:rsidRPr="00DE1BD4">
        <w:fldChar w:fldCharType="begin"/>
      </w:r>
      <w:r w:rsidRPr="00DE1BD4">
        <w:instrText xml:space="preserve"> SEQ Figure \* ARABIC </w:instrText>
      </w:r>
      <w:r w:rsidRPr="00DE1BD4">
        <w:fldChar w:fldCharType="separate"/>
      </w:r>
      <w:r w:rsidR="003F405A">
        <w:rPr>
          <w:noProof/>
        </w:rPr>
        <w:t>19</w:t>
      </w:r>
      <w:r w:rsidRPr="00DE1BD4">
        <w:fldChar w:fldCharType="end"/>
      </w:r>
      <w:bookmarkEnd w:id="463"/>
      <w:r w:rsidRPr="00DE1BD4">
        <w:t xml:space="preserve"> </w:t>
      </w:r>
      <w:r w:rsidR="00B6593A" w:rsidRPr="00DE1BD4">
        <w:t>–</w:t>
      </w:r>
      <w:r w:rsidRPr="00DE1BD4">
        <w:t xml:space="preserve"> </w:t>
      </w:r>
      <w:r w:rsidR="0056140A">
        <w:t xml:space="preserve">African </w:t>
      </w:r>
      <w:r w:rsidRPr="00DE1BD4">
        <w:t>Flood</w:t>
      </w:r>
      <w:r w:rsidR="0056140A">
        <w:t xml:space="preserve"> and </w:t>
      </w:r>
      <w:r w:rsidR="00B6593A" w:rsidRPr="00DE1BD4">
        <w:t>Drought</w:t>
      </w:r>
      <w:r w:rsidRPr="00DE1BD4">
        <w:t xml:space="preserve"> Monitor</w:t>
      </w:r>
      <w:r w:rsidR="00FF7418" w:rsidRPr="0045782B">
        <w:rPr>
          <w:rStyle w:val="FootnoteReference"/>
        </w:rPr>
        <w:footnoteReference w:id="122"/>
      </w:r>
      <w:bookmarkEnd w:id="464"/>
    </w:p>
    <w:p w14:paraId="3804BB2F" w14:textId="726545FC" w:rsidR="00EB5CA6" w:rsidRPr="00DE1BD4" w:rsidRDefault="005D6DFE" w:rsidP="005D6DFE">
      <w:pPr>
        <w:jc w:val="center"/>
      </w:pPr>
      <w:r>
        <w:rPr>
          <w:noProof/>
        </w:rPr>
        <w:drawing>
          <wp:inline distT="0" distB="0" distL="0" distR="0" wp14:anchorId="01E42A71" wp14:editId="73C07C5D">
            <wp:extent cx="5405437" cy="1985208"/>
            <wp:effectExtent l="0" t="0" r="5080" b="0"/>
            <wp:docPr id="1136644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46243" cy="2000194"/>
                    </a:xfrm>
                    <a:prstGeom prst="rect">
                      <a:avLst/>
                    </a:prstGeom>
                    <a:noFill/>
                  </pic:spPr>
                </pic:pic>
              </a:graphicData>
            </a:graphic>
          </wp:inline>
        </w:drawing>
      </w:r>
    </w:p>
    <w:p w14:paraId="610BFE1C" w14:textId="4E36412B" w:rsidR="00EF0DF6" w:rsidRPr="00DE1BD4" w:rsidRDefault="00FD25D0" w:rsidP="00C46E2F">
      <w:pPr>
        <w:pStyle w:val="Heading4"/>
      </w:pPr>
      <w:r w:rsidRPr="00DE1BD4">
        <w:t>Automated Weather Station</w:t>
      </w:r>
      <w:r w:rsidR="005722E9" w:rsidRPr="00DE1BD4">
        <w:t xml:space="preserve"> Network</w:t>
      </w:r>
    </w:p>
    <w:p w14:paraId="08B69629" w14:textId="4A9879BB" w:rsidR="001B4C14" w:rsidRPr="005722E9" w:rsidRDefault="00044135" w:rsidP="001B4C14">
      <w:pPr>
        <w:rPr>
          <w:rFonts w:asciiTheme="minorHAnsi" w:hAnsiTheme="minorHAnsi" w:cstheme="minorHAnsi"/>
        </w:rPr>
      </w:pPr>
      <w:bookmarkStart w:id="465" w:name="_Hlk168426136"/>
      <w:r>
        <w:rPr>
          <w:rFonts w:asciiTheme="minorHAnsi" w:hAnsiTheme="minorHAnsi" w:cstheme="minorHAnsi"/>
        </w:rPr>
        <w:t>The Gambia</w:t>
      </w:r>
      <w:r w:rsidR="001B4C14">
        <w:rPr>
          <w:rFonts w:asciiTheme="minorHAnsi" w:hAnsiTheme="minorHAnsi" w:cstheme="minorHAnsi"/>
        </w:rPr>
        <w:t xml:space="preserve"> has </w:t>
      </w:r>
      <w:r w:rsidR="00B36DA2">
        <w:rPr>
          <w:rFonts w:asciiTheme="minorHAnsi" w:hAnsiTheme="minorHAnsi" w:cstheme="minorHAnsi"/>
        </w:rPr>
        <w:t>several</w:t>
      </w:r>
      <w:r w:rsidR="001B4C14">
        <w:rPr>
          <w:rFonts w:asciiTheme="minorHAnsi" w:hAnsiTheme="minorHAnsi" w:cstheme="minorHAnsi"/>
        </w:rPr>
        <w:t xml:space="preserve"> Automated Weather Stations (AMS) across the country</w:t>
      </w:r>
      <w:r w:rsidR="00E31692" w:rsidRPr="0045782B">
        <w:rPr>
          <w:rStyle w:val="FootnoteReference"/>
        </w:rPr>
        <w:footnoteReference w:id="123"/>
      </w:r>
      <w:r w:rsidR="001B4C14">
        <w:rPr>
          <w:rFonts w:asciiTheme="minorHAnsi" w:hAnsiTheme="minorHAnsi" w:cstheme="minorHAnsi"/>
        </w:rPr>
        <w:t xml:space="preserve">. These AWS are currently managed by the </w:t>
      </w:r>
      <w:r w:rsidR="00877F47">
        <w:t>Meteorology Division of the</w:t>
      </w:r>
      <w:r w:rsidR="00877F47">
        <w:rPr>
          <w:rFonts w:asciiTheme="minorHAnsi" w:hAnsiTheme="minorHAnsi" w:cstheme="minorHAnsi"/>
        </w:rPr>
        <w:t xml:space="preserve"> </w:t>
      </w:r>
      <w:r w:rsidR="004B353A">
        <w:rPr>
          <w:rFonts w:asciiTheme="minorHAnsi" w:hAnsiTheme="minorHAnsi" w:cstheme="minorHAnsi"/>
        </w:rPr>
        <w:t xml:space="preserve">Ministry of Fisheries and Water </w:t>
      </w:r>
      <w:r w:rsidR="00877F47">
        <w:rPr>
          <w:rFonts w:asciiTheme="minorHAnsi" w:hAnsiTheme="minorHAnsi" w:cstheme="minorHAnsi"/>
        </w:rPr>
        <w:t>Resources</w:t>
      </w:r>
      <w:r w:rsidR="001B4C14">
        <w:rPr>
          <w:rFonts w:asciiTheme="minorHAnsi" w:hAnsiTheme="minorHAnsi" w:cstheme="minorHAnsi"/>
        </w:rPr>
        <w:t>, however, there appears to be no publicly available viewer nor any information on how the output warnings are disseminated to the public. An opportunity exists to integrate these AWS systems into the service that is provided by the Southern Africa Science Service Centre for Climate Change and Adaptive land Management (SASSCAL)</w:t>
      </w:r>
      <w:r w:rsidR="001B4C14" w:rsidRPr="0045782B">
        <w:rPr>
          <w:rStyle w:val="FootnoteReference"/>
        </w:rPr>
        <w:footnoteReference w:id="124"/>
      </w:r>
      <w:r w:rsidR="001B4C14">
        <w:rPr>
          <w:rFonts w:asciiTheme="minorHAnsi" w:hAnsiTheme="minorHAnsi" w:cstheme="minorHAnsi"/>
        </w:rPr>
        <w:t xml:space="preserve"> to allow public viewing of the data records. This would create a significant monitoring system for weather events, which should be considered as an input into the EWS solution</w:t>
      </w:r>
      <w:r w:rsidR="001B4C14" w:rsidRPr="005722E9">
        <w:rPr>
          <w:rFonts w:asciiTheme="minorHAnsi" w:hAnsiTheme="minorHAnsi" w:cstheme="minorHAnsi"/>
        </w:rPr>
        <w:t xml:space="preserve">. </w:t>
      </w:r>
    </w:p>
    <w:p w14:paraId="3B711C4E" w14:textId="673E0C1C" w:rsidR="00E0209B" w:rsidRPr="00DE1BD4" w:rsidRDefault="00E0209B" w:rsidP="00C46E2F">
      <w:pPr>
        <w:pStyle w:val="Heading3"/>
      </w:pPr>
      <w:bookmarkStart w:id="466" w:name="_Toc181885830"/>
      <w:r w:rsidRPr="00DE1BD4">
        <w:t xml:space="preserve">Message </w:t>
      </w:r>
      <w:r w:rsidR="00E334CB" w:rsidRPr="00DE1BD4">
        <w:t>Creation</w:t>
      </w:r>
      <w:bookmarkEnd w:id="466"/>
    </w:p>
    <w:p w14:paraId="4147947B" w14:textId="683E54C0" w:rsidR="00CB3C83" w:rsidRPr="00DE1BD4" w:rsidRDefault="00CB3C83" w:rsidP="00CB3C83">
      <w:r w:rsidRPr="00DE1BD4">
        <w:t xml:space="preserve">The output of the monitoring systems needs to be analysed </w:t>
      </w:r>
      <w:r w:rsidR="00F33261" w:rsidRPr="00DE1BD4">
        <w:t>and</w:t>
      </w:r>
      <w:r w:rsidRPr="00DE1BD4">
        <w:t xml:space="preserve"> </w:t>
      </w:r>
      <w:r w:rsidR="00F33261" w:rsidRPr="00DE1BD4">
        <w:t>a</w:t>
      </w:r>
      <w:r w:rsidRPr="00DE1BD4">
        <w:t xml:space="preserve">cted upon. Analysis can either be done by a human operator, or as is becoming more common with the use of Artificial Intelligence. Once a decision has been made </w:t>
      </w:r>
      <w:r w:rsidR="00F33261" w:rsidRPr="00DE1BD4">
        <w:t>the message must be compiled so that it can be understood by the population</w:t>
      </w:r>
      <w:r w:rsidR="00EB46D4" w:rsidRPr="00DE1BD4">
        <w:t xml:space="preserve">. This is facilitated </w:t>
      </w:r>
      <w:r w:rsidR="00C65210" w:rsidRPr="00DE1BD4">
        <w:t>using</w:t>
      </w:r>
      <w:r w:rsidR="00EB46D4" w:rsidRPr="00DE1BD4">
        <w:t xml:space="preserve"> the Common Alerting Protocol (CAP).</w:t>
      </w:r>
    </w:p>
    <w:p w14:paraId="5A6C3E17" w14:textId="6808914E" w:rsidR="00460F0E" w:rsidRPr="00DE1BD4" w:rsidRDefault="00460F0E" w:rsidP="00460F0E">
      <w:r w:rsidRPr="00DE1BD4">
        <w:t xml:space="preserve">The </w:t>
      </w:r>
      <w:r w:rsidR="0084542E">
        <w:t>Department of Fisheries and Water resources is</w:t>
      </w:r>
      <w:r w:rsidRPr="00DE1BD4">
        <w:t xml:space="preserve"> the</w:t>
      </w:r>
      <w:r w:rsidR="00C35EB9">
        <w:t xml:space="preserve"> </w:t>
      </w:r>
      <w:r w:rsidR="00AE0C7B">
        <w:t xml:space="preserve">only </w:t>
      </w:r>
      <w:r w:rsidRPr="00DE1BD4">
        <w:t>registered alerting authorit</w:t>
      </w:r>
      <w:r w:rsidR="00AE0C7B">
        <w:t>y</w:t>
      </w:r>
      <w:r w:rsidRPr="00DE1BD4">
        <w:t xml:space="preserve"> for </w:t>
      </w:r>
      <w:r w:rsidR="006228D5">
        <w:t>T</w:t>
      </w:r>
      <w:r w:rsidR="0084542E">
        <w:t>he Gambia</w:t>
      </w:r>
      <w:r w:rsidRPr="00DE1BD4">
        <w:t xml:space="preserve"> on the WMO’s website</w:t>
      </w:r>
      <w:r w:rsidR="00DE717A" w:rsidRPr="0045782B">
        <w:rPr>
          <w:rStyle w:val="FootnoteReference"/>
        </w:rPr>
        <w:footnoteReference w:id="125"/>
      </w:r>
      <w:r w:rsidRPr="00DE1BD4">
        <w:t>.</w:t>
      </w:r>
      <w:r w:rsidR="00F328A5" w:rsidRPr="00F328A5">
        <w:t xml:space="preserve"> </w:t>
      </w:r>
      <w:r w:rsidR="00F328A5" w:rsidRPr="00DE1BD4">
        <w:t xml:space="preserve">According to the data </w:t>
      </w:r>
      <w:r w:rsidR="00F328A5">
        <w:t>T</w:t>
      </w:r>
      <w:r w:rsidR="000C5A6C">
        <w:t>he Gambia</w:t>
      </w:r>
      <w:r w:rsidR="00F328A5" w:rsidRPr="00DE1BD4">
        <w:t xml:space="preserve"> has </w:t>
      </w:r>
      <w:r w:rsidR="00F328A5">
        <w:t>an</w:t>
      </w:r>
      <w:r w:rsidR="00F328A5" w:rsidRPr="00DE1BD4">
        <w:t xml:space="preserve"> active implementation of CAP</w:t>
      </w:r>
      <w:r w:rsidR="00F328A5" w:rsidRPr="0045782B">
        <w:rPr>
          <w:rStyle w:val="FootnoteReference"/>
        </w:rPr>
        <w:footnoteReference w:id="126"/>
      </w:r>
      <w:r w:rsidR="002522E9">
        <w:t xml:space="preserve">, </w:t>
      </w:r>
      <w:r w:rsidR="007D3408">
        <w:t>however this appears to be last used in 2022</w:t>
      </w:r>
      <w:r w:rsidR="007E1C71" w:rsidRPr="0045782B">
        <w:rPr>
          <w:rStyle w:val="FootnoteReference"/>
        </w:rPr>
        <w:footnoteReference w:id="127"/>
      </w:r>
      <w:r w:rsidR="00F328A5">
        <w:t>.</w:t>
      </w:r>
    </w:p>
    <w:p w14:paraId="1AD8B635" w14:textId="695C82E8" w:rsidR="00C160F1" w:rsidRPr="00DE1BD4" w:rsidRDefault="00C160F1" w:rsidP="00C46E2F">
      <w:pPr>
        <w:pStyle w:val="Heading4"/>
      </w:pPr>
      <w:bookmarkStart w:id="467" w:name="_Ref91084603"/>
      <w:bookmarkStart w:id="468" w:name="_Toc91172687"/>
      <w:bookmarkStart w:id="469" w:name="_Toc91185574"/>
      <w:bookmarkEnd w:id="465"/>
      <w:r w:rsidRPr="00DE1BD4">
        <w:t>Common Alert Protocol (CAP)</w:t>
      </w:r>
      <w:bookmarkEnd w:id="467"/>
      <w:bookmarkEnd w:id="468"/>
      <w:bookmarkEnd w:id="469"/>
    </w:p>
    <w:p w14:paraId="63E096AA" w14:textId="77777777" w:rsidR="001E7CA5" w:rsidRPr="00DE1BD4" w:rsidRDefault="00923811" w:rsidP="000F426E">
      <w:r w:rsidRPr="00DE1BD4">
        <w:t xml:space="preserve">The adoption of </w:t>
      </w:r>
      <w:r w:rsidR="000F426E" w:rsidRPr="00DE1BD4">
        <w:t>Common Alert Protocol (CAP)</w:t>
      </w:r>
      <w:r w:rsidR="000F426E" w:rsidRPr="0045782B">
        <w:rPr>
          <w:rStyle w:val="FootnoteReference"/>
        </w:rPr>
        <w:footnoteReference w:id="128"/>
      </w:r>
      <w:r w:rsidR="000F426E" w:rsidRPr="00DE1BD4">
        <w:t xml:space="preserve"> </w:t>
      </w:r>
      <w:r w:rsidRPr="00DE1BD4">
        <w:t xml:space="preserve">is an important step for better disaster management. Information shared at the right time, in an understandable format, by trusted sources, can be the most effective life-saving tool in the event of an emergency. Early warning systems have improved over the years, but people continue to perish and suffer from hazard threats because, too often, early warning messages arrive too late, are not understandable enough, or do not provide clear guidance. </w:t>
      </w:r>
    </w:p>
    <w:p w14:paraId="5569AC89" w14:textId="3FAED53B" w:rsidR="00723680" w:rsidRPr="00DE1BD4" w:rsidRDefault="00923811" w:rsidP="000F426E">
      <w:r w:rsidRPr="00DE1BD4">
        <w:t>To overcome those challenges</w:t>
      </w:r>
      <w:r w:rsidR="000F426E" w:rsidRPr="00DE1BD4">
        <w:t xml:space="preserve"> </w:t>
      </w:r>
      <w:r w:rsidR="00C5455A" w:rsidRPr="00DE1BD4">
        <w:t>the ITU</w:t>
      </w:r>
      <w:r w:rsidR="00723680" w:rsidRPr="00DE1BD4">
        <w:t xml:space="preserve"> </w:t>
      </w:r>
      <w:r w:rsidR="00C5455A" w:rsidRPr="00DE1BD4">
        <w:t xml:space="preserve">the IFRC and the WMO </w:t>
      </w:r>
      <w:r w:rsidR="000F426E" w:rsidRPr="00DE1BD4">
        <w:t>have</w:t>
      </w:r>
      <w:r w:rsidR="00723680" w:rsidRPr="00DE1BD4">
        <w:t> endorsed the "</w:t>
      </w:r>
      <w:hyperlink r:id="rId47" w:tgtFrame="_blank" w:history="1">
        <w:r w:rsidR="00723680" w:rsidRPr="00DE1BD4">
          <w:t>Call to Action on Emergency Alerting</w:t>
        </w:r>
      </w:hyperlink>
      <w:r w:rsidR="00723680" w:rsidRPr="00DE1BD4">
        <w:t>", which states that by “2025 all countries have the capability for effective, authoritative emergency alerting that leverages the Common Alerting Protocol"</w:t>
      </w:r>
      <w:r w:rsidRPr="0045782B">
        <w:rPr>
          <w:rStyle w:val="FootnoteReference"/>
        </w:rPr>
        <w:footnoteReference w:id="129"/>
      </w:r>
      <w:r w:rsidR="000B2F8E" w:rsidRPr="00DE1BD4">
        <w:t>.</w:t>
      </w:r>
    </w:p>
    <w:p w14:paraId="11022A35" w14:textId="67280237" w:rsidR="0051468F" w:rsidRPr="00DE1BD4" w:rsidRDefault="00723680" w:rsidP="000F426E">
      <w:r w:rsidRPr="00DE1BD4">
        <w:t>CAP is</w:t>
      </w:r>
      <w:r w:rsidR="0051468F" w:rsidRPr="00DE1BD4">
        <w:t xml:space="preserve"> a simple but general format </w:t>
      </w:r>
      <w:r w:rsidR="00C5455A" w:rsidRPr="00DE1BD4">
        <w:t>that enables authorities to deliver early warnings and alerts to all people and communities at risk</w:t>
      </w:r>
      <w:r w:rsidR="000F426E" w:rsidRPr="00DE1BD4">
        <w:t>,</w:t>
      </w:r>
      <w:r w:rsidR="00C5455A" w:rsidRPr="00DE1BD4">
        <w:t xml:space="preserve"> </w:t>
      </w:r>
      <w:r w:rsidR="00F94CD0" w:rsidRPr="00DE1BD4">
        <w:t>via</w:t>
      </w:r>
      <w:r w:rsidR="0051468F" w:rsidRPr="00DE1BD4">
        <w:t xml:space="preserve"> all kinds of ICT networks</w:t>
      </w:r>
      <w:r w:rsidR="000F426E" w:rsidRPr="00DE1BD4">
        <w:t>.</w:t>
      </w:r>
      <w:r w:rsidR="0051468F" w:rsidRPr="00DE1BD4">
        <w:t xml:space="preserve"> </w:t>
      </w:r>
      <w:r w:rsidR="000F426E" w:rsidRPr="00DE1BD4">
        <w:t>Disseminating</w:t>
      </w:r>
      <w:r w:rsidR="0051468F" w:rsidRPr="00DE1BD4">
        <w:t xml:space="preserve"> a consistent warning message simultaneously over many different​ warning systems, </w:t>
      </w:r>
      <w:r w:rsidR="000F426E" w:rsidRPr="00DE1BD4">
        <w:t>increases the</w:t>
      </w:r>
      <w:r w:rsidR="0051468F" w:rsidRPr="00DE1BD4">
        <w:t xml:space="preserve"> warning effectiveness while simplifying the </w:t>
      </w:r>
      <w:r w:rsidR="00FD1D25" w:rsidRPr="00DE1BD4">
        <w:t>task of sending the messages</w:t>
      </w:r>
      <w:r w:rsidR="0051468F" w:rsidRPr="00DE1BD4">
        <w:t>.</w:t>
      </w:r>
    </w:p>
    <w:p w14:paraId="6FB0D838" w14:textId="4BC4091D" w:rsidR="00923811" w:rsidRPr="00DE1BD4" w:rsidRDefault="0051468F" w:rsidP="0051468F">
      <w:pPr>
        <w:shd w:val="clear" w:color="auto" w:fill="FFFFFF"/>
        <w:textAlignment w:val="baseline"/>
      </w:pPr>
      <w:r w:rsidRPr="00DE1BD4">
        <w:t>Technologies to be used</w:t>
      </w:r>
      <w:r w:rsidR="00923811" w:rsidRPr="00DE1BD4">
        <w:t xml:space="preserve"> </w:t>
      </w:r>
      <w:r w:rsidR="00841CF3" w:rsidRPr="00DE1BD4">
        <w:t xml:space="preserve">(if available) </w:t>
      </w:r>
      <w:r w:rsidR="00923811" w:rsidRPr="00DE1BD4">
        <w:t>include</w:t>
      </w:r>
      <w:r w:rsidR="00FD1D25" w:rsidRPr="00DE1BD4">
        <w:t>:</w:t>
      </w:r>
    </w:p>
    <w:p w14:paraId="5F10A539" w14:textId="7090F9EC" w:rsidR="00923811" w:rsidRPr="00DE1BD4" w:rsidRDefault="00FD1D25" w:rsidP="007B2958">
      <w:pPr>
        <w:pStyle w:val="ListParagraph"/>
        <w:numPr>
          <w:ilvl w:val="0"/>
          <w:numId w:val="16"/>
        </w:numPr>
        <w:shd w:val="clear" w:color="auto" w:fill="FFFFFF"/>
        <w:textAlignment w:val="baseline"/>
      </w:pPr>
      <w:r w:rsidRPr="00DE1BD4">
        <w:t>M</w:t>
      </w:r>
      <w:r w:rsidR="0051468F" w:rsidRPr="00DE1BD4">
        <w:t xml:space="preserve">obile and landline telephones, </w:t>
      </w:r>
    </w:p>
    <w:p w14:paraId="49618D83" w14:textId="77777777" w:rsidR="00923811" w:rsidRPr="00DE1BD4" w:rsidRDefault="0051468F" w:rsidP="007B2958">
      <w:pPr>
        <w:pStyle w:val="ListParagraph"/>
        <w:numPr>
          <w:ilvl w:val="0"/>
          <w:numId w:val="16"/>
        </w:numPr>
        <w:shd w:val="clear" w:color="auto" w:fill="FFFFFF"/>
        <w:textAlignment w:val="baseline"/>
      </w:pPr>
      <w:r w:rsidRPr="00DE1BD4">
        <w:t xml:space="preserve">Internet (e-mail, Google, Facebook, Twitter, WhatsApp, smartphone apps, online advertising, Internet of Things (IoT) ​devices​​​, in-home smart speakers, etc.), </w:t>
      </w:r>
    </w:p>
    <w:p w14:paraId="1EF0A538" w14:textId="57115759" w:rsidR="00923811" w:rsidRPr="00DE1BD4" w:rsidRDefault="00FD1D25" w:rsidP="007B2958">
      <w:pPr>
        <w:pStyle w:val="ListParagraph"/>
        <w:numPr>
          <w:ilvl w:val="0"/>
          <w:numId w:val="16"/>
        </w:numPr>
        <w:shd w:val="clear" w:color="auto" w:fill="FFFFFF"/>
        <w:textAlignment w:val="baseline"/>
      </w:pPr>
      <w:r w:rsidRPr="00DE1BD4">
        <w:t>S</w:t>
      </w:r>
      <w:r w:rsidR="0051468F" w:rsidRPr="00DE1BD4">
        <w:t xml:space="preserve">irens (in-building or outdoor), </w:t>
      </w:r>
    </w:p>
    <w:p w14:paraId="26E4C537" w14:textId="6CA5A517" w:rsidR="00923811" w:rsidRPr="00DE1BD4" w:rsidRDefault="00FD1D25" w:rsidP="007B2958">
      <w:pPr>
        <w:pStyle w:val="ListParagraph"/>
        <w:numPr>
          <w:ilvl w:val="0"/>
          <w:numId w:val="16"/>
        </w:numPr>
        <w:shd w:val="clear" w:color="auto" w:fill="FFFFFF"/>
        <w:textAlignment w:val="baseline"/>
      </w:pPr>
      <w:r w:rsidRPr="00DE1BD4">
        <w:t>B</w:t>
      </w:r>
      <w:r w:rsidR="0051468F" w:rsidRPr="00DE1BD4">
        <w:t xml:space="preserve">roadcast radio and television, </w:t>
      </w:r>
    </w:p>
    <w:p w14:paraId="7C46DDDB" w14:textId="11B9BB39" w:rsidR="00923811" w:rsidRPr="00DE1BD4" w:rsidRDefault="00FD1D25" w:rsidP="007B2958">
      <w:pPr>
        <w:pStyle w:val="ListParagraph"/>
        <w:numPr>
          <w:ilvl w:val="0"/>
          <w:numId w:val="16"/>
        </w:numPr>
        <w:shd w:val="clear" w:color="auto" w:fill="FFFFFF"/>
        <w:textAlignment w:val="baseline"/>
      </w:pPr>
      <w:r w:rsidRPr="00DE1BD4">
        <w:t>C</w:t>
      </w:r>
      <w:r w:rsidR="0051468F" w:rsidRPr="00DE1BD4">
        <w:t xml:space="preserve">able television, </w:t>
      </w:r>
    </w:p>
    <w:p w14:paraId="0EE3C520" w14:textId="2A1E3C03" w:rsidR="00923811" w:rsidRPr="00DE1BD4" w:rsidRDefault="00FD1D25" w:rsidP="007B2958">
      <w:pPr>
        <w:pStyle w:val="ListParagraph"/>
        <w:numPr>
          <w:ilvl w:val="0"/>
          <w:numId w:val="16"/>
        </w:numPr>
        <w:shd w:val="clear" w:color="auto" w:fill="FFFFFF"/>
        <w:textAlignment w:val="baseline"/>
      </w:pPr>
      <w:r w:rsidRPr="00DE1BD4">
        <w:t>E</w:t>
      </w:r>
      <w:r w:rsidR="0051468F" w:rsidRPr="00DE1BD4">
        <w:t xml:space="preserve">mergency radio, </w:t>
      </w:r>
    </w:p>
    <w:p w14:paraId="5F0AD5EA" w14:textId="0E1A2DDF" w:rsidR="00923811" w:rsidRPr="00DE1BD4" w:rsidRDefault="00FD1D25" w:rsidP="007B2958">
      <w:pPr>
        <w:pStyle w:val="ListParagraph"/>
        <w:numPr>
          <w:ilvl w:val="0"/>
          <w:numId w:val="16"/>
        </w:numPr>
        <w:shd w:val="clear" w:color="auto" w:fill="FFFFFF"/>
        <w:textAlignment w:val="baseline"/>
      </w:pPr>
      <w:r w:rsidRPr="00DE1BD4">
        <w:t>A</w:t>
      </w:r>
      <w:r w:rsidR="0051468F" w:rsidRPr="00DE1BD4">
        <w:t xml:space="preserve">mateur radio, </w:t>
      </w:r>
    </w:p>
    <w:p w14:paraId="261B8714" w14:textId="4E344FE6" w:rsidR="00923811" w:rsidRPr="00DE1BD4" w:rsidRDefault="00FD1D25" w:rsidP="007B2958">
      <w:pPr>
        <w:pStyle w:val="ListParagraph"/>
        <w:numPr>
          <w:ilvl w:val="0"/>
          <w:numId w:val="16"/>
        </w:numPr>
        <w:shd w:val="clear" w:color="auto" w:fill="FFFFFF"/>
        <w:textAlignment w:val="baseline"/>
      </w:pPr>
      <w:r w:rsidRPr="00DE1BD4">
        <w:t>S</w:t>
      </w:r>
      <w:r w:rsidR="0051468F" w:rsidRPr="00DE1BD4">
        <w:t xml:space="preserve">atellite direct broadcast, and </w:t>
      </w:r>
    </w:p>
    <w:p w14:paraId="6916B339" w14:textId="116F2CF8" w:rsidR="0051468F" w:rsidRPr="00DE1BD4" w:rsidRDefault="00FD1D25" w:rsidP="007B2958">
      <w:pPr>
        <w:pStyle w:val="ListParagraph"/>
        <w:numPr>
          <w:ilvl w:val="0"/>
          <w:numId w:val="16"/>
        </w:numPr>
        <w:shd w:val="clear" w:color="auto" w:fill="FFFFFF"/>
        <w:textAlignment w:val="baseline"/>
      </w:pPr>
      <w:r w:rsidRPr="00DE1BD4">
        <w:t>D</w:t>
      </w:r>
      <w:r w:rsidR="0051468F" w:rsidRPr="00DE1BD4">
        <w:t>igital signage networks (highway signs, billboards, automobile and rail traffic control), among others.</w:t>
      </w:r>
    </w:p>
    <w:p w14:paraId="2786F056" w14:textId="5C9BFABA" w:rsidR="006573AB" w:rsidRPr="00DE1BD4" w:rsidRDefault="006573AB" w:rsidP="006573AB">
      <w:pPr>
        <w:pStyle w:val="Caption"/>
        <w:jc w:val="center"/>
      </w:pPr>
      <w:bookmarkStart w:id="470" w:name="_Toc181885882"/>
      <w:r w:rsidRPr="00DE1BD4">
        <w:rPr>
          <w:noProof/>
        </w:rPr>
        <w:drawing>
          <wp:anchor distT="0" distB="0" distL="114300" distR="114300" simplePos="0" relativeHeight="251661312" behindDoc="0" locked="0" layoutInCell="1" allowOverlap="1" wp14:anchorId="4C391DDE" wp14:editId="4951C041">
            <wp:simplePos x="0" y="0"/>
            <wp:positionH relativeFrom="margin">
              <wp:posOffset>95885</wp:posOffset>
            </wp:positionH>
            <wp:positionV relativeFrom="paragraph">
              <wp:posOffset>294640</wp:posOffset>
            </wp:positionV>
            <wp:extent cx="5401945" cy="1890395"/>
            <wp:effectExtent l="19050" t="19050" r="27305" b="14605"/>
            <wp:wrapTopAndBottom/>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401945" cy="1890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DE1BD4">
        <w:t xml:space="preserve">Figure </w:t>
      </w:r>
      <w:r w:rsidR="005B36C9" w:rsidRPr="00DE1BD4">
        <w:fldChar w:fldCharType="begin"/>
      </w:r>
      <w:r w:rsidR="005B36C9" w:rsidRPr="00DE1BD4">
        <w:instrText xml:space="preserve"> SEQ Figure \* ARABIC </w:instrText>
      </w:r>
      <w:r w:rsidR="005B36C9" w:rsidRPr="00DE1BD4">
        <w:fldChar w:fldCharType="separate"/>
      </w:r>
      <w:r w:rsidR="003F405A">
        <w:rPr>
          <w:noProof/>
        </w:rPr>
        <w:t>20</w:t>
      </w:r>
      <w:r w:rsidR="005B36C9" w:rsidRPr="00DE1BD4">
        <w:fldChar w:fldCharType="end"/>
      </w:r>
      <w:r w:rsidRPr="00DE1BD4">
        <w:t xml:space="preserve"> - Common Alerting Protocol (CAP)</w:t>
      </w:r>
      <w:r w:rsidRPr="0045782B">
        <w:rPr>
          <w:rStyle w:val="FootnoteReference"/>
        </w:rPr>
        <w:footnoteReference w:id="130"/>
      </w:r>
      <w:bookmarkEnd w:id="470"/>
    </w:p>
    <w:p w14:paraId="7AF2C396" w14:textId="042A488C" w:rsidR="006573AB" w:rsidRPr="00DE1BD4" w:rsidRDefault="006573AB" w:rsidP="006573AB">
      <w:pPr>
        <w:shd w:val="clear" w:color="auto" w:fill="FFFFFF"/>
        <w:jc w:val="center"/>
        <w:textAlignment w:val="baseline"/>
      </w:pPr>
    </w:p>
    <w:p w14:paraId="60060C25" w14:textId="6E25EAC0" w:rsidR="005C4E92" w:rsidRDefault="00A26F65" w:rsidP="000F426E">
      <w:r w:rsidRPr="00DE009B">
        <w:t xml:space="preserve">As an example of CAP alerting, </w:t>
      </w:r>
      <w:r w:rsidR="00C46779" w:rsidRPr="00DE009B">
        <w:t>the</w:t>
      </w:r>
      <w:r w:rsidR="00C46779">
        <w:t xml:space="preserve"> Tanzania Meteorological Agency </w:t>
      </w:r>
      <w:r w:rsidR="00DB3608">
        <w:t xml:space="preserve">is an active user of </w:t>
      </w:r>
      <w:r w:rsidR="00DE009B">
        <w:t>CAP providing</w:t>
      </w:r>
      <w:r w:rsidR="00DB3608">
        <w:t xml:space="preserve"> </w:t>
      </w:r>
      <w:r w:rsidR="00292281">
        <w:t>bulletins</w:t>
      </w:r>
      <w:r w:rsidR="00DB3608">
        <w:t xml:space="preserve"> via CAP</w:t>
      </w:r>
      <w:r w:rsidR="002963D8">
        <w:t xml:space="preserve"> as shown in </w:t>
      </w:r>
      <w:r w:rsidR="002963D8">
        <w:fldChar w:fldCharType="begin"/>
      </w:r>
      <w:r w:rsidR="002963D8">
        <w:instrText xml:space="preserve"> REF _Ref174647481 \h </w:instrText>
      </w:r>
      <w:r w:rsidR="002963D8">
        <w:fldChar w:fldCharType="separate"/>
      </w:r>
      <w:r w:rsidR="00DC5B76">
        <w:t xml:space="preserve">Figure </w:t>
      </w:r>
      <w:r w:rsidR="00DC5B76">
        <w:rPr>
          <w:noProof/>
        </w:rPr>
        <w:t>25</w:t>
      </w:r>
      <w:r w:rsidR="002963D8">
        <w:fldChar w:fldCharType="end"/>
      </w:r>
      <w:r w:rsidR="00DB3608">
        <w:t xml:space="preserve"> </w:t>
      </w:r>
      <w:r w:rsidR="002963D8">
        <w:t xml:space="preserve">below. </w:t>
      </w:r>
      <w:r w:rsidR="008B624E">
        <w:t>With the ability to send CAP messages a</w:t>
      </w:r>
      <w:r w:rsidR="00AB4F58" w:rsidRPr="00DE1BD4">
        <w:t xml:space="preserve"> national </w:t>
      </w:r>
      <w:r w:rsidR="0014607B" w:rsidRPr="00DE1BD4">
        <w:t>and centrali</w:t>
      </w:r>
      <w:r>
        <w:t>s</w:t>
      </w:r>
      <w:r w:rsidR="0014607B" w:rsidRPr="00DE1BD4">
        <w:t xml:space="preserve">ed </w:t>
      </w:r>
      <w:r w:rsidR="00AB4F58" w:rsidRPr="00DE1BD4">
        <w:t xml:space="preserve">alert aggregator </w:t>
      </w:r>
      <w:r w:rsidR="00641429" w:rsidRPr="00DE1BD4">
        <w:t>should</w:t>
      </w:r>
      <w:r w:rsidR="00AB4F58" w:rsidRPr="00DE1BD4">
        <w:t xml:space="preserve"> be established</w:t>
      </w:r>
      <w:r w:rsidR="00641429" w:rsidRPr="00DE1BD4">
        <w:t xml:space="preserve"> </w:t>
      </w:r>
      <w:r w:rsidR="00AB4F58" w:rsidRPr="00DE1BD4">
        <w:t xml:space="preserve">to receive all types of </w:t>
      </w:r>
      <w:r w:rsidR="0070161D">
        <w:t xml:space="preserve">warnings and transpose </w:t>
      </w:r>
      <w:r w:rsidR="00DE009B">
        <w:t>these</w:t>
      </w:r>
      <w:r w:rsidR="0070161D">
        <w:t xml:space="preserve"> warnings into </w:t>
      </w:r>
      <w:r w:rsidR="000F426E" w:rsidRPr="00DE1BD4">
        <w:t xml:space="preserve">CAP </w:t>
      </w:r>
      <w:r w:rsidR="0070161D" w:rsidRPr="00DE1BD4">
        <w:t xml:space="preserve">alerts </w:t>
      </w:r>
      <w:r w:rsidR="0079375B" w:rsidRPr="00DE1BD4">
        <w:t xml:space="preserve">and </w:t>
      </w:r>
      <w:r w:rsidR="00AB4F58" w:rsidRPr="00DE1BD4">
        <w:t>then send</w:t>
      </w:r>
      <w:r w:rsidR="0079375B" w:rsidRPr="00DE1BD4">
        <w:t xml:space="preserve"> </w:t>
      </w:r>
      <w:r w:rsidR="00AB4F58" w:rsidRPr="00DE1BD4">
        <w:t>the alert</w:t>
      </w:r>
      <w:r w:rsidR="0079375B" w:rsidRPr="00DE1BD4">
        <w:t>s</w:t>
      </w:r>
      <w:r w:rsidR="00AB4F58" w:rsidRPr="00DE1BD4">
        <w:t xml:space="preserve"> to different alerting disseminators</w:t>
      </w:r>
      <w:r w:rsidR="006573AB" w:rsidRPr="00DE1BD4">
        <w:t>.</w:t>
      </w:r>
    </w:p>
    <w:p w14:paraId="799EFA8F" w14:textId="200ABCBF" w:rsidR="00292281" w:rsidRDefault="002963D8" w:rsidP="002963D8">
      <w:pPr>
        <w:pStyle w:val="Caption"/>
        <w:jc w:val="center"/>
      </w:pPr>
      <w:bookmarkStart w:id="471" w:name="_Ref174647481"/>
      <w:bookmarkStart w:id="472" w:name="_Toc181885883"/>
      <w:r>
        <w:t xml:space="preserve">Figure </w:t>
      </w:r>
      <w:r>
        <w:fldChar w:fldCharType="begin"/>
      </w:r>
      <w:r>
        <w:instrText xml:space="preserve"> SEQ Figure \* ARABIC </w:instrText>
      </w:r>
      <w:r>
        <w:fldChar w:fldCharType="separate"/>
      </w:r>
      <w:r w:rsidR="003F405A">
        <w:rPr>
          <w:noProof/>
        </w:rPr>
        <w:t>21</w:t>
      </w:r>
      <w:r>
        <w:fldChar w:fldCharType="end"/>
      </w:r>
      <w:bookmarkEnd w:id="471"/>
      <w:r>
        <w:t xml:space="preserve"> </w:t>
      </w:r>
      <w:bookmarkStart w:id="473" w:name="_Ref174647471"/>
      <w:r>
        <w:t>- Example CAP Message</w:t>
      </w:r>
      <w:bookmarkEnd w:id="473"/>
      <w:r w:rsidR="00E46CE3" w:rsidRPr="0045782B">
        <w:rPr>
          <w:rStyle w:val="FootnoteReference"/>
        </w:rPr>
        <w:footnoteReference w:id="131"/>
      </w:r>
      <w:bookmarkEnd w:id="472"/>
    </w:p>
    <w:p w14:paraId="7DD71368" w14:textId="0406BD90" w:rsidR="00DB3608" w:rsidRPr="00DE1BD4" w:rsidRDefault="00292281" w:rsidP="000F426E">
      <w:r>
        <w:rPr>
          <w:noProof/>
        </w:rPr>
        <w:drawing>
          <wp:inline distT="0" distB="0" distL="0" distR="0" wp14:anchorId="3575AE64" wp14:editId="16CB05CD">
            <wp:extent cx="5481003" cy="2194040"/>
            <wp:effectExtent l="0" t="0" r="5715" b="0"/>
            <wp:docPr id="139928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5516867" cy="2208396"/>
                    </a:xfrm>
                    <a:prstGeom prst="rect">
                      <a:avLst/>
                    </a:prstGeom>
                    <a:noFill/>
                  </pic:spPr>
                </pic:pic>
              </a:graphicData>
            </a:graphic>
          </wp:inline>
        </w:drawing>
      </w:r>
    </w:p>
    <w:p w14:paraId="3AE21F5B" w14:textId="77777777" w:rsidR="00AB4F58" w:rsidRPr="00DE1BD4" w:rsidRDefault="00AB4F58" w:rsidP="000F426E">
      <w:r w:rsidRPr="00DE1BD4">
        <w:t>In addition, CAP offers capabilities including, but not limited to:</w:t>
      </w:r>
    </w:p>
    <w:p w14:paraId="6CD9CB4A" w14:textId="2095197D" w:rsidR="00AB4F58" w:rsidRPr="00DE1BD4" w:rsidRDefault="00AB4F58" w:rsidP="007B2958">
      <w:pPr>
        <w:pStyle w:val="ListParagraph"/>
        <w:numPr>
          <w:ilvl w:val="0"/>
          <w:numId w:val="17"/>
        </w:numPr>
      </w:pPr>
      <w:r w:rsidRPr="00DE1BD4">
        <w:t>Flexible geographic targeting using latitude/longitude shapes and other three-dimensional geospatial representations</w:t>
      </w:r>
    </w:p>
    <w:p w14:paraId="384BCDCD" w14:textId="77777777" w:rsidR="00AB4F58" w:rsidRPr="00DE1BD4" w:rsidRDefault="00AB4F58" w:rsidP="007B2958">
      <w:pPr>
        <w:pStyle w:val="ListParagraph"/>
        <w:numPr>
          <w:ilvl w:val="0"/>
          <w:numId w:val="17"/>
        </w:numPr>
      </w:pPr>
      <w:r w:rsidRPr="00DE1BD4">
        <w:t xml:space="preserve">Multilingual and multi-audience messages </w:t>
      </w:r>
    </w:p>
    <w:p w14:paraId="7DDBAC13" w14:textId="77777777" w:rsidR="00AB4F58" w:rsidRPr="00DE1BD4" w:rsidRDefault="00AB4F58" w:rsidP="007B2958">
      <w:pPr>
        <w:pStyle w:val="ListParagraph"/>
        <w:numPr>
          <w:ilvl w:val="0"/>
          <w:numId w:val="17"/>
        </w:numPr>
      </w:pPr>
      <w:r w:rsidRPr="00DE1BD4">
        <w:t xml:space="preserve">Improved message update and cancellation functions </w:t>
      </w:r>
    </w:p>
    <w:p w14:paraId="191CF3EA" w14:textId="77777777" w:rsidR="00AB4F58" w:rsidRPr="00DE1BD4" w:rsidRDefault="00AB4F58" w:rsidP="007B2958">
      <w:pPr>
        <w:pStyle w:val="ListParagraph"/>
        <w:numPr>
          <w:ilvl w:val="0"/>
          <w:numId w:val="17"/>
        </w:numPr>
      </w:pPr>
      <w:r w:rsidRPr="00DE1BD4">
        <w:t xml:space="preserve">Template support to frame complete and effective warning messages </w:t>
      </w:r>
    </w:p>
    <w:p w14:paraId="0241841A" w14:textId="1A03A6A6" w:rsidR="000D2971" w:rsidRPr="00DE1BD4" w:rsidRDefault="00AB4F58" w:rsidP="007B2958">
      <w:pPr>
        <w:pStyle w:val="ListParagraph"/>
        <w:numPr>
          <w:ilvl w:val="0"/>
          <w:numId w:val="17"/>
        </w:numPr>
      </w:pPr>
      <w:r w:rsidRPr="00DE1BD4">
        <w:t xml:space="preserve">Digital encryption support and signature capabilities </w:t>
      </w:r>
    </w:p>
    <w:p w14:paraId="6D01B1DC" w14:textId="691F3F7B" w:rsidR="008B5907" w:rsidRPr="00DE1BD4" w:rsidRDefault="008E7EDA" w:rsidP="00CD6014">
      <w:r w:rsidRPr="00DE1BD4">
        <w:t>Sahana Software Foundation offers SAMBRO, a messaging broker designed to publish and subscribe CAP warnings</w:t>
      </w:r>
      <w:r w:rsidR="00BB4F92" w:rsidRPr="00DE1BD4">
        <w:t xml:space="preserve"> that does not have any licensing fees</w:t>
      </w:r>
      <w:r w:rsidR="00C51A51" w:rsidRPr="00DE1BD4">
        <w:t xml:space="preserve">. </w:t>
      </w:r>
      <w:r w:rsidR="00CD6014" w:rsidRPr="00DE1BD4">
        <w:rPr>
          <w:rStyle w:val="normaltextrun"/>
          <w:color w:val="000000"/>
          <w:shd w:val="clear" w:color="auto" w:fill="FFFFFF"/>
        </w:rPr>
        <w:t xml:space="preserve">The Sahana Foundation has been doing research and development of </w:t>
      </w:r>
      <w:r w:rsidR="00CD6014" w:rsidRPr="00DE1BD4">
        <w:t xml:space="preserve">cultural context, national and regional pictograph dictionaries that can be used by alerting authorities to make warning messages more inclusive and </w:t>
      </w:r>
      <w:r w:rsidR="00D662F8" w:rsidRPr="00DE1BD4">
        <w:t>accessible</w:t>
      </w:r>
      <w:r w:rsidR="00CD6014" w:rsidRPr="0045782B">
        <w:rPr>
          <w:rStyle w:val="FootnoteReference"/>
        </w:rPr>
        <w:footnoteReference w:id="132"/>
      </w:r>
      <w:r w:rsidR="00872614" w:rsidRPr="00DE1BD4">
        <w:t>.</w:t>
      </w:r>
    </w:p>
    <w:p w14:paraId="0294E25F" w14:textId="75B956FB" w:rsidR="00E334CB" w:rsidRPr="00DE1BD4" w:rsidRDefault="00E334CB" w:rsidP="00C46E2F">
      <w:pPr>
        <w:pStyle w:val="Heading3"/>
      </w:pPr>
      <w:bookmarkStart w:id="474" w:name="_Toc181885831"/>
      <w:r w:rsidRPr="00DE1BD4">
        <w:t>Alert D</w:t>
      </w:r>
      <w:r w:rsidR="0021163C" w:rsidRPr="00DE1BD4">
        <w:t>issemination</w:t>
      </w:r>
      <w:bookmarkEnd w:id="474"/>
    </w:p>
    <w:p w14:paraId="43D602DB" w14:textId="203FC28E" w:rsidR="00F24C46" w:rsidRPr="00DE1BD4" w:rsidRDefault="0021163C" w:rsidP="005B31AC">
      <w:pPr>
        <w:shd w:val="clear" w:color="auto" w:fill="FFFFFF"/>
        <w:spacing w:before="100" w:beforeAutospacing="1" w:after="100" w:afterAutospacing="1"/>
        <w:rPr>
          <w:rFonts w:cstheme="minorHAnsi"/>
          <w:shd w:val="clear" w:color="auto" w:fill="FFFFFF"/>
        </w:rPr>
      </w:pPr>
      <w:r w:rsidRPr="00DE1BD4">
        <w:t xml:space="preserve">Without the ability to disseminate alerts to the population, the effectiveness of an EWS is limited. </w:t>
      </w:r>
      <w:r w:rsidR="005B31AC" w:rsidRPr="00DE1BD4">
        <w:rPr>
          <w:rFonts w:cstheme="minorHAnsi"/>
        </w:rPr>
        <w:t>Today (2022),</w:t>
      </w:r>
      <w:r w:rsidR="00C65455" w:rsidRPr="00DE1BD4">
        <w:rPr>
          <w:rFonts w:cstheme="minorHAnsi"/>
        </w:rPr>
        <w:t xml:space="preserve"> three out of four people</w:t>
      </w:r>
      <w:r w:rsidR="005B31AC" w:rsidRPr="00DE1BD4">
        <w:rPr>
          <w:rFonts w:cstheme="minorHAnsi"/>
        </w:rPr>
        <w:t> around the world own a mobile phone</w:t>
      </w:r>
      <w:r w:rsidR="005B31AC" w:rsidRPr="0045782B">
        <w:rPr>
          <w:rStyle w:val="FootnoteReference"/>
        </w:rPr>
        <w:footnoteReference w:id="133"/>
      </w:r>
      <w:r w:rsidR="005B31AC" w:rsidRPr="00DE1BD4">
        <w:rPr>
          <w:rFonts w:cstheme="minorHAnsi"/>
        </w:rPr>
        <w:t>. Global active mobile subscriptions reached 87% of the population</w:t>
      </w:r>
      <w:r w:rsidR="005B31AC" w:rsidRPr="0045782B">
        <w:rPr>
          <w:rStyle w:val="FootnoteReference"/>
        </w:rPr>
        <w:footnoteReference w:id="134"/>
      </w:r>
      <w:r w:rsidR="005B31AC" w:rsidRPr="00DE1BD4">
        <w:rPr>
          <w:rFonts w:cstheme="minorHAnsi"/>
        </w:rPr>
        <w:t>, and network coverage is available for 95% of the world, at least with a 3G network</w:t>
      </w:r>
      <w:r w:rsidR="005B31AC" w:rsidRPr="0045782B">
        <w:rPr>
          <w:rStyle w:val="FootnoteReference"/>
        </w:rPr>
        <w:footnoteReference w:id="135"/>
      </w:r>
      <w:r w:rsidR="005B31AC" w:rsidRPr="00DE1BD4">
        <w:rPr>
          <w:rFonts w:cstheme="minorHAnsi"/>
        </w:rPr>
        <w:t xml:space="preserve">. </w:t>
      </w:r>
      <w:r w:rsidR="007A7910">
        <w:rPr>
          <w:rFonts w:cstheme="minorHAnsi"/>
        </w:rPr>
        <w:t>T</w:t>
      </w:r>
      <w:r w:rsidR="00537179">
        <w:rPr>
          <w:rFonts w:cstheme="minorHAnsi"/>
        </w:rPr>
        <w:t>he Gambia</w:t>
      </w:r>
      <w:r w:rsidR="007A7910">
        <w:rPr>
          <w:rFonts w:cstheme="minorHAnsi"/>
        </w:rPr>
        <w:t xml:space="preserve"> alone has over </w:t>
      </w:r>
      <w:r w:rsidR="00F57707">
        <w:rPr>
          <w:rFonts w:cstheme="minorHAnsi"/>
        </w:rPr>
        <w:t>113</w:t>
      </w:r>
      <w:r w:rsidR="00633421">
        <w:rPr>
          <w:rFonts w:cstheme="minorHAnsi"/>
        </w:rPr>
        <w:t xml:space="preserve">% </w:t>
      </w:r>
      <w:r w:rsidR="00511D2B">
        <w:rPr>
          <w:rFonts w:cstheme="minorHAnsi"/>
          <w:lang w:val="en-US"/>
        </w:rPr>
        <w:t>of the population having a mobile phone</w:t>
      </w:r>
      <w:r w:rsidR="00385B20" w:rsidRPr="0045782B">
        <w:rPr>
          <w:rStyle w:val="FootnoteReference"/>
        </w:rPr>
        <w:footnoteReference w:id="136"/>
      </w:r>
      <w:r w:rsidR="00511D2B">
        <w:rPr>
          <w:rFonts w:cstheme="minorHAnsi"/>
          <w:lang w:val="en-US"/>
        </w:rPr>
        <w:t xml:space="preserve">. </w:t>
      </w:r>
      <w:r w:rsidR="005B31AC" w:rsidRPr="00DE1BD4">
        <w:rPr>
          <w:rFonts w:cstheme="minorHAnsi"/>
          <w:shd w:val="clear" w:color="auto" w:fill="FFFFFF"/>
        </w:rPr>
        <w:t xml:space="preserve">This makes mobile networks an incredibly powerful communication channel to alert populations about an imminent hazard. </w:t>
      </w:r>
    </w:p>
    <w:p w14:paraId="0F990FE8" w14:textId="77777777" w:rsidR="0041376E" w:rsidRPr="00DE1BD4" w:rsidRDefault="005B31AC" w:rsidP="0041376E">
      <w:r w:rsidRPr="00DE1BD4">
        <w:rPr>
          <w:rFonts w:cstheme="minorHAnsi"/>
          <w:shd w:val="clear" w:color="auto" w:fill="FFFFFF"/>
        </w:rPr>
        <w:t xml:space="preserve">Two different technologies, Cell Broadcast (CB) and Location-Based SMS (LB-SMS), have proven to be very effective in alerting about imminent hazards, and are already in use in several </w:t>
      </w:r>
      <w:r w:rsidRPr="00DE1BD4">
        <w:t>countries.</w:t>
      </w:r>
    </w:p>
    <w:p w14:paraId="634685F1" w14:textId="5F31608F" w:rsidR="005B31AC" w:rsidRPr="00DE1BD4" w:rsidRDefault="005B31AC" w:rsidP="0041376E">
      <w:pPr>
        <w:rPr>
          <w:rFonts w:eastAsia="Times New Roman" w:cstheme="minorHAnsi"/>
        </w:rPr>
      </w:pPr>
      <w:r w:rsidRPr="00DE1BD4">
        <w:t>Location-Based SMS uses subscribers’ mobile numbers for point-to-point communication, to send a message to all mobile phones detected in a risk zone. While Cell</w:t>
      </w:r>
      <w:r w:rsidR="00ED6E54" w:rsidRPr="00DE1BD4">
        <w:t xml:space="preserve"> </w:t>
      </w:r>
      <w:r w:rsidRPr="00DE1BD4">
        <w:t xml:space="preserve">Broadcast uses a different network than SMS (the mobile </w:t>
      </w:r>
      <w:r w:rsidR="00D11F2C" w:rsidRPr="00DE1BD4">
        <w:t>signalling</w:t>
      </w:r>
      <w:r w:rsidRPr="00DE1BD4">
        <w:t xml:space="preserve"> channel for point-to-area), enabling messages to be sent almost immediately to millions of people without network congestion. In that sense, by using cell</w:t>
      </w:r>
      <w:r w:rsidR="00ED6E54" w:rsidRPr="00DE1BD4">
        <w:t xml:space="preserve"> </w:t>
      </w:r>
      <w:r w:rsidRPr="00DE1BD4">
        <w:t>broadcast (CB) and/or location-based SMS, warnings can be targeted to reach only those located in an affected area. Additionally, the alerts can be adapted to specific requirements, such as a user’s language</w:t>
      </w:r>
      <w:r w:rsidRPr="0045782B">
        <w:rPr>
          <w:rStyle w:val="FootnoteReference"/>
        </w:rPr>
        <w:footnoteReference w:id="137"/>
      </w:r>
      <w:r w:rsidR="00ED6E54" w:rsidRPr="00DE1BD4">
        <w:t>.</w:t>
      </w:r>
    </w:p>
    <w:p w14:paraId="764D901F" w14:textId="480FDCBC" w:rsidR="00DD19F8" w:rsidRPr="00DE1BD4" w:rsidRDefault="000651DF" w:rsidP="00C46E2F">
      <w:pPr>
        <w:pStyle w:val="Heading4"/>
      </w:pPr>
      <w:bookmarkStart w:id="475" w:name="_Ref174779723"/>
      <w:bookmarkStart w:id="476" w:name="_Hlk116846531"/>
      <w:r w:rsidRPr="00DE1BD4">
        <w:t>Location-Based SMS</w:t>
      </w:r>
      <w:bookmarkEnd w:id="475"/>
    </w:p>
    <w:p w14:paraId="6C8EA007" w14:textId="1E833CD5" w:rsidR="00DD19F8" w:rsidRPr="00DE1BD4" w:rsidRDefault="00DD19F8" w:rsidP="00B72073">
      <w:pPr>
        <w:rPr>
          <w:rFonts w:cstheme="minorHAnsi"/>
          <w:shd w:val="clear" w:color="auto" w:fill="FFFFFF"/>
        </w:rPr>
      </w:pPr>
      <w:r w:rsidRPr="00DE1BD4">
        <w:t xml:space="preserve">Location-Based SMS </w:t>
      </w:r>
      <w:r w:rsidR="000651DF" w:rsidRPr="00DE1BD4">
        <w:t>(L</w:t>
      </w:r>
      <w:r w:rsidR="00B72073" w:rsidRPr="00DE1BD4">
        <w:t xml:space="preserve">B_SMS) </w:t>
      </w:r>
      <w:r w:rsidRPr="00DE1BD4">
        <w:t xml:space="preserve">combines traditional SMS with cell-based location. That is, uses the existing SMS </w:t>
      </w:r>
      <w:r w:rsidRPr="00DE1BD4">
        <w:rPr>
          <w:rFonts w:cstheme="minorHAnsi"/>
        </w:rPr>
        <w:t>channel and combines it with the accuracy of cell-based location to send the messages</w:t>
      </w:r>
      <w:r w:rsidRPr="0045782B">
        <w:rPr>
          <w:rStyle w:val="FootnoteReference"/>
        </w:rPr>
        <w:footnoteReference w:id="138"/>
      </w:r>
      <w:r w:rsidR="00B72073" w:rsidRPr="00DE1BD4">
        <w:rPr>
          <w:rFonts w:cstheme="minorHAnsi"/>
        </w:rPr>
        <w:t>.</w:t>
      </w:r>
      <w:r w:rsidRPr="00DE1BD4">
        <w:rPr>
          <w:rFonts w:cstheme="minorHAnsi"/>
        </w:rPr>
        <w:t xml:space="preserve"> This </w:t>
      </w:r>
      <w:r w:rsidRPr="00DE1BD4">
        <w:rPr>
          <w:rFonts w:cstheme="minorHAnsi"/>
          <w:shd w:val="clear" w:color="auto" w:fill="FFFFFF"/>
        </w:rPr>
        <w:t>allows governments, public agencies and mobile operators to send SMS notifications and warnings to a list of mobile subscribers located in a specific geographical area of interest</w:t>
      </w:r>
      <w:r w:rsidRPr="0045782B">
        <w:rPr>
          <w:rStyle w:val="FootnoteReference"/>
        </w:rPr>
        <w:footnoteReference w:id="139"/>
      </w:r>
      <w:r w:rsidR="00B72073" w:rsidRPr="00DE1BD4">
        <w:rPr>
          <w:rFonts w:cstheme="minorHAnsi"/>
          <w:shd w:val="clear" w:color="auto" w:fill="FFFFFF"/>
        </w:rPr>
        <w:t>.</w:t>
      </w:r>
      <w:r w:rsidRPr="00DE1BD4">
        <w:rPr>
          <w:rFonts w:cstheme="minorHAnsi"/>
          <w:shd w:val="clear" w:color="auto" w:fill="FFFFFF"/>
        </w:rPr>
        <w:t xml:space="preserve"> In general</w:t>
      </w:r>
      <w:r w:rsidRPr="00DE1BD4">
        <w:t xml:space="preserve">, an LB-SMS message is simply a regular SMS message, only sent to a subset of the mobile </w:t>
      </w:r>
      <w:r w:rsidRPr="00DE1BD4">
        <w:rPr>
          <w:rFonts w:cstheme="minorHAnsi"/>
          <w:shd w:val="clear" w:color="auto" w:fill="FFFFFF"/>
        </w:rPr>
        <w:t>network’s attached devices which happen to be in a particular geographical area</w:t>
      </w:r>
      <w:r w:rsidRPr="0045782B">
        <w:rPr>
          <w:rStyle w:val="FootnoteReference"/>
        </w:rPr>
        <w:footnoteReference w:id="140"/>
      </w:r>
      <w:r w:rsidR="00B72073" w:rsidRPr="00DE1BD4">
        <w:rPr>
          <w:rFonts w:cstheme="minorHAnsi"/>
          <w:shd w:val="clear" w:color="auto" w:fill="FFFFFF"/>
        </w:rPr>
        <w:t>.</w:t>
      </w:r>
    </w:p>
    <w:p w14:paraId="369E2B79" w14:textId="77777777" w:rsidR="00DD19F8" w:rsidRPr="00DE1BD4" w:rsidRDefault="00DD19F8" w:rsidP="00B72073">
      <w:r w:rsidRPr="00DE1BD4">
        <w:rPr>
          <w:rFonts w:cstheme="minorHAnsi"/>
          <w:shd w:val="clear" w:color="auto" w:fill="FFFFFF"/>
        </w:rPr>
        <w:t>This technology, given</w:t>
      </w:r>
      <w:r w:rsidRPr="00DE1BD4">
        <w:rPr>
          <w:rFonts w:cstheme="minorHAnsi"/>
        </w:rPr>
        <w:t xml:space="preserve"> its characteristics, has advantages that others may not have, and enables options that could be useful to alert the population in certain situations or when facing specific threats. </w:t>
      </w:r>
      <w:r w:rsidRPr="00DE1BD4">
        <w:t>Some of the advantages of LB-SMS technology are:</w:t>
      </w:r>
    </w:p>
    <w:p w14:paraId="6CF68F68" w14:textId="5B9FFAC2" w:rsidR="00DD19F8" w:rsidRPr="00DE1BD4" w:rsidRDefault="00DD19F8" w:rsidP="00963CF3">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000000"/>
          <w:sz w:val="27"/>
          <w:szCs w:val="27"/>
        </w:rPr>
      </w:pPr>
      <w:r w:rsidRPr="00DE1BD4">
        <w:t xml:space="preserve">Confirmation of Delivery (bi directionality): Unlike cell broadcast technology, LB SMS provides confirmation of delivery and “service performance” data in real-time, as it is a two-way communication tool. This allows operators and authorities to store messages, showing a count of recipients, individual delivery reports, language specific content (based on recipients’ country code), send updates, and receive feedback or replies by the users, which may provide vital information to emergency services, facilitate the monitoring of situations, and better plan the </w:t>
      </w:r>
      <w:r w:rsidRPr="00DE1BD4">
        <w:rPr>
          <w:rFonts w:cstheme="minorHAnsi"/>
        </w:rPr>
        <w:t>deployment of resources</w:t>
      </w:r>
      <w:r w:rsidRPr="0045782B">
        <w:rPr>
          <w:rStyle w:val="FootnoteReference"/>
        </w:rPr>
        <w:footnoteReference w:id="141"/>
      </w:r>
      <w:r w:rsidR="00B72073" w:rsidRPr="00DE1BD4">
        <w:rPr>
          <w:rFonts w:cstheme="minorHAnsi"/>
        </w:rPr>
        <w:t>.</w:t>
      </w:r>
      <w:r w:rsidRPr="00DE1BD4">
        <w:rPr>
          <w:rFonts w:cstheme="minorHAnsi"/>
        </w:rPr>
        <w:t xml:space="preserve"> It may also be useful for demographic groups such as people with special needs, elderly, children, etc. to request assistance during evacuations</w:t>
      </w:r>
      <w:r w:rsidRPr="0045782B">
        <w:rPr>
          <w:rStyle w:val="FootnoteReference"/>
        </w:rPr>
        <w:footnoteReference w:id="142"/>
      </w:r>
      <w:r w:rsidR="00B72073" w:rsidRPr="00DE1BD4">
        <w:rPr>
          <w:rFonts w:cstheme="minorHAnsi"/>
        </w:rPr>
        <w:t>.</w:t>
      </w:r>
    </w:p>
    <w:p w14:paraId="49E86970" w14:textId="1F022115" w:rsidR="00DD19F8" w:rsidRPr="00DE1BD4" w:rsidRDefault="00DD19F8" w:rsidP="00963CF3">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000000"/>
          <w:sz w:val="27"/>
          <w:szCs w:val="27"/>
        </w:rPr>
      </w:pPr>
      <w:r w:rsidRPr="00DE1BD4">
        <w:t>Provides follow-up messaging (granularity): Allows customized messaging for vulnerable groups, and to send individual messages to certain numbers even if people have left the affected area. This can be particularly useful in certain situations, such as pandemics, where, for instance, a follow-up medical treatment is needed, or for hazards such as chemical attacks</w:t>
      </w:r>
      <w:r w:rsidRPr="0045782B">
        <w:rPr>
          <w:rStyle w:val="FootnoteReference"/>
        </w:rPr>
        <w:footnoteReference w:id="143"/>
      </w:r>
      <w:r w:rsidR="00B72073" w:rsidRPr="00DE1BD4">
        <w:t>.</w:t>
      </w:r>
    </w:p>
    <w:p w14:paraId="7421D3D0" w14:textId="399AA90F" w:rsidR="00DD19F8" w:rsidRPr="00DE1BD4" w:rsidRDefault="00DD19F8" w:rsidP="00963CF3">
      <w:pPr>
        <w:pStyle w:val="NormalWeb"/>
        <w:numPr>
          <w:ilvl w:val="0"/>
          <w:numId w:val="44"/>
        </w:numPr>
        <w:shd w:val="clear" w:color="auto" w:fill="FFFFFF"/>
        <w:rPr>
          <w:rFonts w:asciiTheme="minorHAnsi" w:hAnsiTheme="minorHAnsi" w:cstheme="minorHAnsi"/>
          <w:sz w:val="22"/>
          <w:szCs w:val="22"/>
        </w:rPr>
      </w:pPr>
      <w:r w:rsidRPr="00DE1BD4">
        <w:rPr>
          <w:rFonts w:asciiTheme="minorHAnsi" w:hAnsiTheme="minorHAnsi" w:cstheme="minorHAnsi"/>
          <w:sz w:val="22"/>
          <w:szCs w:val="22"/>
        </w:rPr>
        <w:t>Service Barring and Familiarity: Users cannot by default opt out of LB-SMS, as their only way to do it is by turning off their device, setting it to silent or ignoring the alert</w:t>
      </w:r>
      <w:r w:rsidRPr="0045782B">
        <w:rPr>
          <w:rStyle w:val="FootnoteReference"/>
        </w:rPr>
        <w:footnoteReference w:id="144"/>
      </w:r>
      <w:r w:rsidR="00B72073" w:rsidRPr="00DE1BD4">
        <w:rPr>
          <w:rFonts w:asciiTheme="minorHAnsi" w:hAnsiTheme="minorHAnsi" w:cstheme="minorHAnsi"/>
          <w:sz w:val="22"/>
          <w:szCs w:val="22"/>
        </w:rPr>
        <w:t>.</w:t>
      </w:r>
      <w:r w:rsidRPr="00DE1BD4">
        <w:rPr>
          <w:rFonts w:asciiTheme="minorHAnsi" w:hAnsiTheme="minorHAnsi" w:cstheme="minorHAnsi"/>
          <w:sz w:val="22"/>
          <w:szCs w:val="22"/>
        </w:rPr>
        <w:t xml:space="preserve"> Also, unlike other technologies, SMS are a universally known communication channel, which may facilitate alerting specific demographic groups such as people with special needs or the elderly. Traditional messaging may also provide lesser chances of causing panic while sending alerts for incidents that can be predicted a few days in advance</w:t>
      </w:r>
      <w:r w:rsidRPr="0045782B">
        <w:rPr>
          <w:rStyle w:val="FootnoteReference"/>
        </w:rPr>
        <w:footnoteReference w:id="145"/>
      </w:r>
      <w:r w:rsidR="00B72073" w:rsidRPr="00DE1BD4">
        <w:rPr>
          <w:rFonts w:asciiTheme="minorHAnsi" w:hAnsiTheme="minorHAnsi" w:cstheme="minorHAnsi"/>
          <w:sz w:val="22"/>
          <w:szCs w:val="22"/>
        </w:rPr>
        <w:t>.</w:t>
      </w:r>
      <w:r w:rsidRPr="00DE1BD4">
        <w:rPr>
          <w:rFonts w:asciiTheme="minorHAnsi" w:hAnsiTheme="minorHAnsi" w:cstheme="minorHAnsi"/>
          <w:sz w:val="22"/>
          <w:szCs w:val="22"/>
        </w:rPr>
        <w:t xml:space="preserve"> This characteristic, nonetheless, may be seen as a disadvantage, as traditional messages can be easier to disregard: these messages look like any other messages sent to a phone.</w:t>
      </w:r>
    </w:p>
    <w:p w14:paraId="50C7C281" w14:textId="77777777" w:rsidR="00DD19F8" w:rsidRPr="00DE1BD4" w:rsidRDefault="00DD19F8" w:rsidP="00DD19F8">
      <w:pPr>
        <w:pStyle w:val="NormalWeb"/>
        <w:shd w:val="clear" w:color="auto" w:fill="FFFFFF"/>
        <w:rPr>
          <w:rFonts w:asciiTheme="minorHAnsi" w:hAnsiTheme="minorHAnsi" w:cstheme="minorHAnsi"/>
          <w:sz w:val="22"/>
          <w:szCs w:val="22"/>
        </w:rPr>
      </w:pPr>
      <w:r w:rsidRPr="00DE1BD4">
        <w:rPr>
          <w:rFonts w:asciiTheme="minorHAnsi" w:hAnsiTheme="minorHAnsi" w:cstheme="minorHAnsi"/>
          <w:sz w:val="22"/>
          <w:szCs w:val="22"/>
        </w:rPr>
        <w:t>Although these advantages allow an efficient use of this technology in certain situations, LB SMS also presents some disadvantages and limitations, such as the following:</w:t>
      </w:r>
    </w:p>
    <w:p w14:paraId="1A7DB717" w14:textId="77777777" w:rsidR="00DD19F8" w:rsidRPr="00DE1BD4" w:rsidRDefault="00DD19F8" w:rsidP="00963CF3">
      <w:pPr>
        <w:pStyle w:val="ListParagraph"/>
        <w:numPr>
          <w:ilvl w:val="0"/>
          <w:numId w:val="45"/>
        </w:numPr>
        <w:shd w:val="clear" w:color="auto" w:fill="FFFFFF"/>
        <w:autoSpaceDE w:val="0"/>
        <w:autoSpaceDN w:val="0"/>
        <w:adjustRightInd w:val="0"/>
        <w:spacing w:before="100" w:beforeAutospacing="1" w:after="100" w:afterAutospacing="1" w:line="240" w:lineRule="auto"/>
        <w:rPr>
          <w:rFonts w:asciiTheme="minorHAnsi" w:hAnsiTheme="minorHAnsi" w:cstheme="minorBidi"/>
        </w:rPr>
      </w:pPr>
      <w:r w:rsidRPr="00DE1BD4">
        <w:t>The use of classical SMS requires having a number database</w:t>
      </w:r>
      <w:r w:rsidRPr="00DE1BD4">
        <w:rPr>
          <w:rFonts w:cstheme="minorHAnsi"/>
        </w:rPr>
        <w:t>: This technology is ideal as a personal one-to-one messaging solution but requires the establishment and maintenance of a database of target numbers for bulk messaging</w:t>
      </w:r>
      <w:r w:rsidRPr="0045782B">
        <w:rPr>
          <w:rStyle w:val="FootnoteReference"/>
        </w:rPr>
        <w:footnoteReference w:id="146"/>
      </w:r>
      <w:r w:rsidRPr="00DE1BD4">
        <w:rPr>
          <w:rFonts w:cstheme="minorHAnsi"/>
        </w:rPr>
        <w:t xml:space="preserve">. </w:t>
      </w:r>
      <w:r w:rsidRPr="00DE1BD4">
        <w:t>In other words, for all areas that the Mobile Network Operator (MNO) must deliver messages into, a list of all users currently located in those areas must be always kept up to date. This is usually not the case at the granularity of the single cell level, as knowledge of subscribers’ locations is not required for normal operation. Also, this may limit dissemination of information for persons at risk without subscriptions to specific MNOs (e.g. tourists).</w:t>
      </w:r>
      <w:r w:rsidRPr="00DE1BD4">
        <w:rPr>
          <w:rStyle w:val="FootnoteReference"/>
        </w:rPr>
        <w:t xml:space="preserve"> </w:t>
      </w:r>
      <w:r w:rsidRPr="0045782B">
        <w:rPr>
          <w:rStyle w:val="FootnoteReference"/>
        </w:rPr>
        <w:footnoteReference w:id="147"/>
      </w:r>
    </w:p>
    <w:p w14:paraId="63E5BA3B" w14:textId="6A4B5F4C" w:rsidR="00DD19F8" w:rsidRPr="00DE1BD4" w:rsidRDefault="00DD19F8" w:rsidP="00963CF3">
      <w:pPr>
        <w:pStyle w:val="ListParagraph"/>
        <w:numPr>
          <w:ilvl w:val="0"/>
          <w:numId w:val="45"/>
        </w:numPr>
        <w:shd w:val="clear" w:color="auto" w:fill="FFFFFF"/>
        <w:autoSpaceDE w:val="0"/>
        <w:autoSpaceDN w:val="0"/>
        <w:adjustRightInd w:val="0"/>
        <w:spacing w:before="100" w:beforeAutospacing="1" w:after="100" w:afterAutospacing="1" w:line="240" w:lineRule="auto"/>
      </w:pPr>
      <w:r w:rsidRPr="00DE1BD4">
        <w:t xml:space="preserve">Network congestion: Even though the capacity of the networks </w:t>
      </w:r>
      <w:r w:rsidRPr="00DE1BD4">
        <w:rPr>
          <w:rFonts w:cstheme="minorHAnsi"/>
        </w:rPr>
        <w:t>has been largely increased in recent years</w:t>
      </w:r>
      <w:r w:rsidRPr="0045782B">
        <w:rPr>
          <w:rStyle w:val="FootnoteReference"/>
        </w:rPr>
        <w:footnoteReference w:id="148"/>
      </w:r>
      <w:r w:rsidRPr="00DE1BD4">
        <w:rPr>
          <w:rFonts w:cstheme="minorHAnsi"/>
        </w:rPr>
        <w:t>, this technology requires the use of networks that are often severely congested during emergency situations, causing delays in message delivery</w:t>
      </w:r>
      <w:r w:rsidRPr="0045782B">
        <w:rPr>
          <w:rStyle w:val="FootnoteReference"/>
        </w:rPr>
        <w:footnoteReference w:id="149"/>
      </w:r>
      <w:r w:rsidR="00B72073" w:rsidRPr="00DE1BD4">
        <w:rPr>
          <w:rFonts w:cstheme="minorHAnsi"/>
        </w:rPr>
        <w:t>.</w:t>
      </w:r>
    </w:p>
    <w:p w14:paraId="7F265135" w14:textId="77777777" w:rsidR="00DD19F8" w:rsidRPr="00DE1BD4" w:rsidRDefault="00DD19F8" w:rsidP="00963CF3">
      <w:pPr>
        <w:pStyle w:val="ListParagraph"/>
        <w:numPr>
          <w:ilvl w:val="0"/>
          <w:numId w:val="45"/>
        </w:numPr>
        <w:shd w:val="clear" w:color="auto" w:fill="FFFFFF"/>
        <w:autoSpaceDE w:val="0"/>
        <w:autoSpaceDN w:val="0"/>
        <w:adjustRightInd w:val="0"/>
        <w:spacing w:before="100" w:beforeAutospacing="1" w:after="100" w:afterAutospacing="1" w:line="240" w:lineRule="auto"/>
      </w:pPr>
      <w:r w:rsidRPr="00DE1BD4">
        <w:t>Security: Unlike other technologies, where messages can only be sent by authorized personnel who have been given access to the system, in LB-SMS, messages can be sent from any source and the identity of the sender is difficult to verify</w:t>
      </w:r>
      <w:r w:rsidRPr="0045782B">
        <w:rPr>
          <w:rStyle w:val="FootnoteReference"/>
        </w:rPr>
        <w:footnoteReference w:id="150"/>
      </w:r>
    </w:p>
    <w:p w14:paraId="7C064E0B" w14:textId="180FF8A5" w:rsidR="00DD19F8" w:rsidRPr="00DE1BD4" w:rsidRDefault="00DD19F8" w:rsidP="00963CF3">
      <w:pPr>
        <w:pStyle w:val="ListParagraph"/>
        <w:numPr>
          <w:ilvl w:val="0"/>
          <w:numId w:val="45"/>
        </w:numPr>
        <w:shd w:val="clear" w:color="auto" w:fill="FFFFFF"/>
        <w:autoSpaceDE w:val="0"/>
        <w:autoSpaceDN w:val="0"/>
        <w:adjustRightInd w:val="0"/>
        <w:spacing w:before="100" w:beforeAutospacing="1" w:after="100" w:afterAutospacing="1" w:line="240" w:lineRule="auto"/>
        <w:rPr>
          <w:rFonts w:cstheme="minorHAnsi"/>
        </w:rPr>
      </w:pPr>
      <w:r w:rsidRPr="00DE1BD4">
        <w:rPr>
          <w:rFonts w:cstheme="minorHAnsi"/>
        </w:rPr>
        <w:t>User interface: This technology cannot over-ride the mute function and it doesn’t necessarily make the phone vibrate</w:t>
      </w:r>
      <w:r w:rsidRPr="0045782B">
        <w:rPr>
          <w:rStyle w:val="FootnoteReference"/>
        </w:rPr>
        <w:footnoteReference w:id="151"/>
      </w:r>
      <w:r w:rsidR="00B72073" w:rsidRPr="00DE1BD4">
        <w:rPr>
          <w:rFonts w:cstheme="minorHAnsi"/>
        </w:rPr>
        <w:t>.</w:t>
      </w:r>
    </w:p>
    <w:p w14:paraId="3E181E16" w14:textId="042E10F7" w:rsidR="000C1299" w:rsidRPr="00DE1BD4" w:rsidRDefault="00C41BCA" w:rsidP="00C46E2F">
      <w:pPr>
        <w:pStyle w:val="Heading4"/>
      </w:pPr>
      <w:bookmarkStart w:id="477" w:name="_Ref174779762"/>
      <w:r w:rsidRPr="00DE1BD4">
        <w:t>Cell Broadcast</w:t>
      </w:r>
      <w:bookmarkEnd w:id="477"/>
    </w:p>
    <w:p w14:paraId="399E50B5" w14:textId="38BD2500" w:rsidR="00C41BCA" w:rsidRPr="00DE1BD4" w:rsidRDefault="00C41BCA" w:rsidP="00C41BCA">
      <w:r w:rsidRPr="00DE1BD4">
        <w:t>Increasingly, countries around the world are adopting C</w:t>
      </w:r>
      <w:r w:rsidR="00BC3854" w:rsidRPr="00DE1BD4">
        <w:t>B</w:t>
      </w:r>
      <w:r w:rsidRPr="00DE1BD4">
        <w:t xml:space="preserve"> for public warning systems. In many countries, </w:t>
      </w:r>
      <w:r w:rsidR="00BC3854" w:rsidRPr="00DE1BD4">
        <w:t>CB</w:t>
      </w:r>
      <w:r w:rsidRPr="00DE1BD4">
        <w:t xml:space="preserve"> builds on a CAP system. </w:t>
      </w:r>
    </w:p>
    <w:p w14:paraId="0E302158" w14:textId="77777777" w:rsidR="00D47EC3" w:rsidRPr="00DE1BD4" w:rsidRDefault="00C94370" w:rsidP="00D47EC3">
      <w:pPr>
        <w:rPr>
          <w:rFonts w:cstheme="minorHAnsi"/>
        </w:rPr>
      </w:pPr>
      <w:r w:rsidRPr="00DE1BD4">
        <w:t>CB is a broadcast technology operating at the default granularity of a single cell up to any number of cells in</w:t>
      </w:r>
      <w:r w:rsidRPr="00DE1BD4">
        <w:rPr>
          <w:rFonts w:cstheme="minorHAnsi"/>
        </w:rPr>
        <w:t xml:space="preserve"> a particular region</w:t>
      </w:r>
      <w:r w:rsidRPr="0045782B">
        <w:rPr>
          <w:rStyle w:val="FootnoteReference"/>
        </w:rPr>
        <w:footnoteReference w:id="152"/>
      </w:r>
      <w:r w:rsidR="00BC3854" w:rsidRPr="00DE1BD4">
        <w:rPr>
          <w:rFonts w:cstheme="minorHAnsi"/>
        </w:rPr>
        <w:t>.</w:t>
      </w:r>
      <w:r w:rsidRPr="00DE1BD4">
        <w:rPr>
          <w:rStyle w:val="FootnoteReference"/>
          <w:rFonts w:cstheme="minorHAnsi"/>
        </w:rPr>
        <w:t xml:space="preserve"> </w:t>
      </w:r>
      <w:r w:rsidRPr="00DE1BD4">
        <w:rPr>
          <w:rFonts w:eastAsia="Times New Roman" w:cstheme="minorHAnsi"/>
        </w:rPr>
        <w:t xml:space="preserve"> It is a </w:t>
      </w:r>
      <w:r w:rsidRPr="00DE1BD4">
        <w:rPr>
          <w:rFonts w:cstheme="minorHAnsi"/>
        </w:rPr>
        <w:t>point-to-multipoint service that allows to send a text message to a specific area</w:t>
      </w:r>
      <w:r w:rsidR="00BC3854" w:rsidRPr="00DE1BD4">
        <w:rPr>
          <w:rFonts w:cstheme="minorHAnsi"/>
        </w:rPr>
        <w:t>;</w:t>
      </w:r>
      <w:r w:rsidRPr="00DE1BD4">
        <w:rPr>
          <w:rFonts w:cstheme="minorHAnsi"/>
        </w:rPr>
        <w:t xml:space="preserve"> local, regional or nationwide</w:t>
      </w:r>
      <w:r w:rsidR="00BC3854" w:rsidRPr="00DE1BD4">
        <w:rPr>
          <w:rFonts w:cstheme="minorHAnsi"/>
        </w:rPr>
        <w:t>,</w:t>
      </w:r>
      <w:r w:rsidRPr="00DE1BD4">
        <w:rPr>
          <w:rFonts w:cstheme="minorHAnsi"/>
        </w:rPr>
        <w:t xml:space="preserve"> to a large number of subscribers, including visitors from other countries and users that arrive to the affected area. As there is no need to know the number of the subscriber’s mobile device to send the message, there are no privacy concerns with CB. This type of broadcast can also be repeated during a configurable period, or the message could expire after a single broadcast.</w:t>
      </w:r>
    </w:p>
    <w:p w14:paraId="409AB0CA" w14:textId="0FDD03AA" w:rsidR="00C94370" w:rsidRPr="00DE1BD4" w:rsidRDefault="00C94370" w:rsidP="009708EB">
      <w:r w:rsidRPr="00DE1BD4">
        <w:rPr>
          <w:rFonts w:cstheme="minorHAnsi"/>
        </w:rPr>
        <w:t xml:space="preserve">When a CB message is received by the user, it is displayed automatically on the mobile phone screen with a special ringtone and vibration, disabling its use until the user acknowledges the alert. CB also </w:t>
      </w:r>
      <w:r w:rsidRPr="00DE1BD4">
        <w:t>allows text-to-speech in certain cases, and the users´ desired language</w:t>
      </w:r>
      <w:r w:rsidRPr="0045782B">
        <w:rPr>
          <w:rStyle w:val="FootnoteReference"/>
        </w:rPr>
        <w:footnoteReference w:id="153"/>
      </w:r>
      <w:r w:rsidR="00D47EC3" w:rsidRPr="00DE1BD4">
        <w:t>.</w:t>
      </w:r>
    </w:p>
    <w:p w14:paraId="097CFC0B" w14:textId="77777777" w:rsidR="00C94370" w:rsidRPr="00DE1BD4" w:rsidRDefault="00C94370" w:rsidP="009708EB">
      <w:pPr>
        <w:rPr>
          <w:rFonts w:eastAsiaTheme="minorHAnsi" w:cstheme="minorHAnsi"/>
          <w:lang w:eastAsia="en-US"/>
        </w:rPr>
      </w:pPr>
      <w:r w:rsidRPr="00DE1BD4">
        <w:t>As in the case o</w:t>
      </w:r>
      <w:r w:rsidRPr="00DE1BD4">
        <w:rPr>
          <w:rFonts w:cstheme="minorHAnsi"/>
        </w:rPr>
        <w:t>f LB-SMS, this technology also has some advantages and limitations</w:t>
      </w:r>
      <w:r w:rsidRPr="00DE1BD4">
        <w:rPr>
          <w:rFonts w:ascii="Arial" w:eastAsia="Times New Roman" w:hAnsi="Arial" w:cs="Arial"/>
        </w:rPr>
        <w:t xml:space="preserve"> </w:t>
      </w:r>
      <w:r w:rsidRPr="00DE1BD4">
        <w:rPr>
          <w:rFonts w:cstheme="minorHAnsi"/>
        </w:rPr>
        <w:t>compared to other options. Some of the main advantages of CB are:</w:t>
      </w:r>
    </w:p>
    <w:p w14:paraId="1ADDF07D" w14:textId="00EEF085" w:rsidR="00C94370" w:rsidRPr="00DE1BD4" w:rsidRDefault="00C94370" w:rsidP="00963CF3">
      <w:pPr>
        <w:pStyle w:val="ListParagraph"/>
        <w:numPr>
          <w:ilvl w:val="0"/>
          <w:numId w:val="43"/>
        </w:numPr>
        <w:shd w:val="clear" w:color="auto" w:fill="FFFFFF"/>
        <w:spacing w:before="100" w:beforeAutospacing="1" w:after="100" w:afterAutospacing="1" w:line="240" w:lineRule="auto"/>
        <w:rPr>
          <w:rFonts w:cstheme="minorBidi"/>
        </w:rPr>
      </w:pPr>
      <w:r w:rsidRPr="00DE1BD4">
        <w:rPr>
          <w:rFonts w:cstheme="minorHAnsi"/>
        </w:rPr>
        <w:t xml:space="preserve">Message Display: </w:t>
      </w:r>
      <w:r w:rsidRPr="00DE1BD4">
        <w:t>Messages can be broadcast in any language and displayed depending on the mobile device’s language settings</w:t>
      </w:r>
      <w:r w:rsidRPr="0045782B">
        <w:rPr>
          <w:rStyle w:val="FootnoteReference"/>
        </w:rPr>
        <w:footnoteReference w:id="154"/>
      </w:r>
      <w:r w:rsidRPr="00DE1BD4">
        <w:t>. Also, the message is displayed with no need of user interaction, and it has a distinct warning tone and vibration pattern</w:t>
      </w:r>
      <w:r w:rsidRPr="0045782B">
        <w:rPr>
          <w:rStyle w:val="FootnoteReference"/>
        </w:rPr>
        <w:footnoteReference w:id="155"/>
      </w:r>
      <w:r w:rsidR="00B72073" w:rsidRPr="00DE1BD4">
        <w:t>.</w:t>
      </w:r>
    </w:p>
    <w:p w14:paraId="4F5FB19E" w14:textId="6C4911A8" w:rsidR="00C94370" w:rsidRPr="00DE1BD4" w:rsidRDefault="00C94370" w:rsidP="00963CF3">
      <w:pPr>
        <w:pStyle w:val="ListParagraph"/>
        <w:numPr>
          <w:ilvl w:val="0"/>
          <w:numId w:val="43"/>
        </w:numPr>
        <w:shd w:val="clear" w:color="auto" w:fill="FFFFFF"/>
        <w:autoSpaceDE w:val="0"/>
        <w:autoSpaceDN w:val="0"/>
        <w:adjustRightInd w:val="0"/>
        <w:spacing w:before="100" w:beforeAutospacing="1" w:after="100" w:afterAutospacing="1" w:line="240" w:lineRule="auto"/>
        <w:rPr>
          <w:rFonts w:cstheme="minorHAnsi"/>
          <w:color w:val="020B21"/>
        </w:rPr>
      </w:pPr>
      <w:r w:rsidRPr="00DE1BD4">
        <w:t>Message Delivery: As CB works on a one-to-many basis, one message can be sent to millions of devices almost immediately</w:t>
      </w:r>
      <w:r w:rsidRPr="0045782B">
        <w:rPr>
          <w:rStyle w:val="FootnoteReference"/>
        </w:rPr>
        <w:footnoteReference w:id="156"/>
      </w:r>
      <w:r w:rsidR="00B72073" w:rsidRPr="00DE1BD4">
        <w:t>.</w:t>
      </w:r>
      <w:r w:rsidRPr="00DE1BD4">
        <w:t xml:space="preserve"> Also, because a CB message is sent only once to each cell, and from each cell it is broadcast repeatedly to all attached mobile devices, the network load for a given warning message is very low. In addition, CB traffic is either carried with the highest priority (3G/4G) or on a dedicated channel (2G)</w:t>
      </w:r>
      <w:r w:rsidRPr="0045782B">
        <w:rPr>
          <w:rStyle w:val="FootnoteReference"/>
        </w:rPr>
        <w:footnoteReference w:id="157"/>
      </w:r>
      <w:r w:rsidR="00B72073" w:rsidRPr="00DE1BD4">
        <w:t>.</w:t>
      </w:r>
      <w:r w:rsidRPr="00DE1BD4">
        <w:t xml:space="preserve"> This means that this technology will always work, even when the network is congested</w:t>
      </w:r>
      <w:r w:rsidRPr="0045782B">
        <w:rPr>
          <w:rStyle w:val="FootnoteReference"/>
        </w:rPr>
        <w:footnoteReference w:id="158"/>
      </w:r>
      <w:r w:rsidR="00B72073" w:rsidRPr="00DE1BD4">
        <w:t>.</w:t>
      </w:r>
    </w:p>
    <w:p w14:paraId="252DDBCF" w14:textId="1FB255AF" w:rsidR="00C94370" w:rsidRPr="00DE1BD4" w:rsidRDefault="00C94370" w:rsidP="00963CF3">
      <w:pPr>
        <w:pStyle w:val="ListParagraph"/>
        <w:numPr>
          <w:ilvl w:val="0"/>
          <w:numId w:val="43"/>
        </w:numPr>
        <w:shd w:val="clear" w:color="auto" w:fill="FFFFFF"/>
        <w:autoSpaceDE w:val="0"/>
        <w:autoSpaceDN w:val="0"/>
        <w:adjustRightInd w:val="0"/>
        <w:spacing w:before="100" w:beforeAutospacing="1" w:after="100" w:afterAutospacing="1" w:line="240" w:lineRule="auto"/>
        <w:rPr>
          <w:rFonts w:cstheme="minorHAnsi"/>
        </w:rPr>
      </w:pPr>
      <w:r w:rsidRPr="00DE1BD4">
        <w:rPr>
          <w:rFonts w:cstheme="minorHAnsi"/>
        </w:rPr>
        <w:t>Geo-Fencing: Since 2019, CB has been enhanced to allow for geo-targeting, that is, using the mobile device´s geolocation capability to improve accuracy to levels equal to those of satellite navigation</w:t>
      </w:r>
      <w:r w:rsidRPr="0045782B">
        <w:rPr>
          <w:rStyle w:val="FootnoteReference"/>
        </w:rPr>
        <w:footnoteReference w:id="159"/>
      </w:r>
      <w:r w:rsidR="00B72073" w:rsidRPr="00DE1BD4">
        <w:rPr>
          <w:rFonts w:cstheme="minorHAnsi"/>
        </w:rPr>
        <w:t>.</w:t>
      </w:r>
      <w:r w:rsidRPr="00DE1BD4">
        <w:rPr>
          <w:rFonts w:cstheme="minorHAnsi"/>
        </w:rPr>
        <w:t xml:space="preserve"> Using the network target area geometries (polygons and or circles), the geo-fencing feature can use satellite navigation and the cell information to establish the mobile </w:t>
      </w:r>
      <w:proofErr w:type="gramStart"/>
      <w:r w:rsidRPr="00DE1BD4">
        <w:rPr>
          <w:rFonts w:cstheme="minorHAnsi"/>
        </w:rPr>
        <w:t>devices</w:t>
      </w:r>
      <w:proofErr w:type="gramEnd"/>
      <w:r w:rsidRPr="00DE1BD4">
        <w:rPr>
          <w:rFonts w:cstheme="minorHAnsi"/>
        </w:rPr>
        <w:t xml:space="preserve"> location with an accuracy level of meters. Indeed, geo-fencing can facilitate alert originators to issue warning messages to, for instance, those living on the left side of the highway but not on the right</w:t>
      </w:r>
      <w:r w:rsidRPr="0045782B">
        <w:rPr>
          <w:rStyle w:val="FootnoteReference"/>
        </w:rPr>
        <w:footnoteReference w:id="160"/>
      </w:r>
      <w:r w:rsidR="00B72073" w:rsidRPr="00DE1BD4">
        <w:rPr>
          <w:rFonts w:cstheme="minorHAnsi"/>
        </w:rPr>
        <w:t>.</w:t>
      </w:r>
    </w:p>
    <w:p w14:paraId="6B564CC5" w14:textId="3857212D" w:rsidR="00C94370" w:rsidRPr="00DE1BD4" w:rsidRDefault="00C94370" w:rsidP="00963CF3">
      <w:pPr>
        <w:pStyle w:val="ListParagraph"/>
        <w:numPr>
          <w:ilvl w:val="0"/>
          <w:numId w:val="43"/>
        </w:numPr>
        <w:shd w:val="clear" w:color="auto" w:fill="FFFFFF"/>
        <w:spacing w:before="100" w:beforeAutospacing="1" w:after="100" w:afterAutospacing="1"/>
        <w:rPr>
          <w:rFonts w:cstheme="minorHAnsi"/>
        </w:rPr>
      </w:pPr>
      <w:r w:rsidRPr="00DE1BD4">
        <w:rPr>
          <w:rFonts w:cstheme="minorHAnsi"/>
        </w:rPr>
        <w:t>Security: In CB, the recipients remain anonymous as this technology does not require registration of numbers or maintenance of a number database</w:t>
      </w:r>
      <w:r w:rsidRPr="0045782B">
        <w:rPr>
          <w:rStyle w:val="FootnoteReference"/>
        </w:rPr>
        <w:footnoteReference w:id="161"/>
      </w:r>
      <w:r w:rsidR="00B72073" w:rsidRPr="00DE1BD4">
        <w:rPr>
          <w:rFonts w:cstheme="minorHAnsi"/>
        </w:rPr>
        <w:t>.</w:t>
      </w:r>
    </w:p>
    <w:p w14:paraId="68CC00B9" w14:textId="08C48166" w:rsidR="00C94370" w:rsidRPr="00DE1BD4" w:rsidRDefault="00C94370" w:rsidP="00C94370">
      <w:pPr>
        <w:autoSpaceDE w:val="0"/>
        <w:autoSpaceDN w:val="0"/>
        <w:adjustRightInd w:val="0"/>
        <w:spacing w:after="0"/>
        <w:rPr>
          <w:rFonts w:eastAsia="Times New Roman" w:cstheme="minorHAnsi"/>
        </w:rPr>
      </w:pPr>
      <w:r w:rsidRPr="00DE1BD4">
        <w:rPr>
          <w:rFonts w:eastAsia="Times New Roman" w:cstheme="minorHAnsi"/>
        </w:rPr>
        <w:t>On the contrary, CB has 2 main limitations compared to technologies like LB-SMS: first, CB does not have the capability to provide confirmation of delivery in real time</w:t>
      </w:r>
      <w:r w:rsidRPr="0045782B">
        <w:rPr>
          <w:rStyle w:val="FootnoteReference"/>
        </w:rPr>
        <w:footnoteReference w:id="162"/>
      </w:r>
      <w:r w:rsidRPr="00DE1BD4">
        <w:rPr>
          <w:rFonts w:eastAsia="Times New Roman" w:cstheme="minorHAnsi"/>
        </w:rPr>
        <w:t>; and second, it does not provide “follow-up” capabilities (less granularity), and it can only be used for 1-way communication</w:t>
      </w:r>
      <w:r w:rsidRPr="0045782B">
        <w:rPr>
          <w:rStyle w:val="FootnoteReference"/>
        </w:rPr>
        <w:footnoteReference w:id="163"/>
      </w:r>
      <w:r w:rsidR="00272D53" w:rsidRPr="00DE1BD4">
        <w:rPr>
          <w:rFonts w:eastAsia="Times New Roman" w:cstheme="minorHAnsi"/>
        </w:rPr>
        <w:t xml:space="preserve">. </w:t>
      </w:r>
      <w:r w:rsidRPr="00DE1BD4">
        <w:rPr>
          <w:rFonts w:eastAsia="Times New Roman" w:cstheme="minorHAnsi"/>
        </w:rPr>
        <w:t>Other disadvantages that this technology had, have been recently overcome. For example, since 2012, every device can support Cell Broadcast. Also, currently there is no need no sign up or opt-in to receive CB messages (although the user can still turn off CB reception), and no manual configuration is required by the end user as the technology is now included by default in every handset</w:t>
      </w:r>
      <w:r w:rsidRPr="0045782B">
        <w:rPr>
          <w:rStyle w:val="FootnoteReference"/>
        </w:rPr>
        <w:footnoteReference w:id="164"/>
      </w:r>
      <w:r w:rsidR="00B72073" w:rsidRPr="00DE1BD4">
        <w:rPr>
          <w:rFonts w:eastAsia="Times New Roman" w:cstheme="minorHAnsi"/>
        </w:rPr>
        <w:t>.</w:t>
      </w:r>
      <w:r w:rsidRPr="00DE1BD4">
        <w:rPr>
          <w:rFonts w:eastAsia="Times New Roman" w:cstheme="minorHAnsi"/>
        </w:rPr>
        <w:t xml:space="preserve"> </w:t>
      </w:r>
    </w:p>
    <w:p w14:paraId="7544AD6B" w14:textId="77777777" w:rsidR="00C94370" w:rsidRPr="00DE1BD4" w:rsidRDefault="00C94370" w:rsidP="00C94370">
      <w:pPr>
        <w:autoSpaceDE w:val="0"/>
        <w:autoSpaceDN w:val="0"/>
        <w:adjustRightInd w:val="0"/>
        <w:spacing w:after="0"/>
        <w:rPr>
          <w:rFonts w:ascii="Arial" w:eastAsia="Times New Roman" w:hAnsi="Arial" w:cs="Arial"/>
          <w:color w:val="4472C4" w:themeColor="accent1"/>
        </w:rPr>
      </w:pPr>
    </w:p>
    <w:p w14:paraId="66BDD782" w14:textId="3FF8069A" w:rsidR="00C94370" w:rsidRPr="00DE1BD4" w:rsidRDefault="00A212D9" w:rsidP="00A212D9">
      <w:pPr>
        <w:pStyle w:val="Caption"/>
        <w:jc w:val="center"/>
        <w:rPr>
          <w:rFonts w:ascii="Arial" w:eastAsia="Times New Roman" w:hAnsi="Arial" w:cs="Arial"/>
          <w:b w:val="0"/>
          <w:bCs w:val="0"/>
          <w:i/>
          <w:iCs/>
        </w:rPr>
      </w:pPr>
      <w:bookmarkStart w:id="478" w:name="_Ref168500503"/>
      <w:bookmarkStart w:id="479" w:name="_Ref141449972"/>
      <w:bookmarkStart w:id="480" w:name="_Ref168500495"/>
      <w:bookmarkStart w:id="481" w:name="_Toc181885862"/>
      <w:r w:rsidRPr="00DE1BD4">
        <w:t xml:space="preserve">Table </w:t>
      </w:r>
      <w:r w:rsidRPr="00DE1BD4">
        <w:fldChar w:fldCharType="begin"/>
      </w:r>
      <w:r w:rsidRPr="00DE1BD4">
        <w:instrText xml:space="preserve"> SEQ Table \* ARABIC </w:instrText>
      </w:r>
      <w:r w:rsidRPr="00DE1BD4">
        <w:fldChar w:fldCharType="separate"/>
      </w:r>
      <w:r w:rsidR="001317F1">
        <w:rPr>
          <w:noProof/>
        </w:rPr>
        <w:t>9</w:t>
      </w:r>
      <w:r w:rsidRPr="00DE1BD4">
        <w:fldChar w:fldCharType="end"/>
      </w:r>
      <w:bookmarkEnd w:id="478"/>
      <w:r w:rsidRPr="00DE1BD4">
        <w:t xml:space="preserve"> -</w:t>
      </w:r>
      <w:bookmarkEnd w:id="479"/>
      <w:r w:rsidR="00C94370" w:rsidRPr="00DE1BD4">
        <w:t xml:space="preserve"> Summary of CB/LB-SMS characteristics</w:t>
      </w:r>
      <w:bookmarkEnd w:id="480"/>
      <w:r w:rsidR="00EE2B76" w:rsidRPr="0045782B">
        <w:rPr>
          <w:rStyle w:val="FootnoteReference"/>
        </w:rPr>
        <w:footnoteReference w:id="165"/>
      </w:r>
      <w:bookmarkEnd w:id="481"/>
    </w:p>
    <w:tbl>
      <w:tblPr>
        <w:tblStyle w:val="PlainTable1"/>
        <w:tblW w:w="8899" w:type="dxa"/>
        <w:jc w:val="center"/>
        <w:tblInd w:w="0" w:type="dxa"/>
        <w:tblLook w:val="04A0" w:firstRow="1" w:lastRow="0" w:firstColumn="1" w:lastColumn="0" w:noHBand="0" w:noVBand="1"/>
      </w:tblPr>
      <w:tblGrid>
        <w:gridCol w:w="2379"/>
        <w:gridCol w:w="3260"/>
        <w:gridCol w:w="3260"/>
      </w:tblGrid>
      <w:tr w:rsidR="00C94370" w:rsidRPr="00DE1BD4" w14:paraId="5B3186A9" w14:textId="77777777" w:rsidTr="00800D6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CB9CA" w:themeFill="text2" w:themeFillTint="66"/>
            <w:hideMark/>
          </w:tcPr>
          <w:p w14:paraId="1C0176F6" w14:textId="77777777" w:rsidR="00C94370" w:rsidRPr="00DE1BD4" w:rsidRDefault="00C94370">
            <w:pPr>
              <w:jc w:val="center"/>
              <w:rPr>
                <w:rFonts w:eastAsia="Times New Roman"/>
                <w:color w:val="1F3864" w:themeColor="accent1" w:themeShade="80"/>
                <w:sz w:val="20"/>
                <w:szCs w:val="20"/>
              </w:rPr>
            </w:pPr>
            <w:r w:rsidRPr="00DE1BD4">
              <w:rPr>
                <w:rFonts w:eastAsia="Times New Roman"/>
                <w:color w:val="1F3864" w:themeColor="accent1" w:themeShade="80"/>
                <w:sz w:val="20"/>
                <w:szCs w:val="20"/>
              </w:rPr>
              <w:t>Characteristic</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CB9CA" w:themeFill="text2" w:themeFillTint="66"/>
            <w:hideMark/>
          </w:tcPr>
          <w:p w14:paraId="7F3D81F2" w14:textId="77777777" w:rsidR="00C94370" w:rsidRPr="00DE1BD4" w:rsidRDefault="00C94370">
            <w:pPr>
              <w:jc w:val="center"/>
              <w:cnfStyle w:val="100000000000" w:firstRow="1" w:lastRow="0" w:firstColumn="0" w:lastColumn="0" w:oddVBand="0" w:evenVBand="0" w:oddHBand="0" w:evenHBand="0" w:firstRowFirstColumn="0" w:firstRowLastColumn="0" w:lastRowFirstColumn="0" w:lastRowLastColumn="0"/>
              <w:rPr>
                <w:rFonts w:eastAsia="Times New Roman"/>
                <w:color w:val="1F3864" w:themeColor="accent1" w:themeShade="80"/>
                <w:sz w:val="20"/>
                <w:szCs w:val="20"/>
              </w:rPr>
            </w:pPr>
            <w:r w:rsidRPr="00DE1BD4">
              <w:rPr>
                <w:rFonts w:eastAsia="Times New Roman"/>
                <w:color w:val="1F3864" w:themeColor="accent1" w:themeShade="80"/>
                <w:sz w:val="20"/>
                <w:szCs w:val="20"/>
              </w:rPr>
              <w:t>LB-SMS</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CB9CA" w:themeFill="text2" w:themeFillTint="66"/>
            <w:hideMark/>
          </w:tcPr>
          <w:p w14:paraId="75AF2529" w14:textId="77777777" w:rsidR="00C94370" w:rsidRPr="00DE1BD4" w:rsidRDefault="00C94370">
            <w:pPr>
              <w:jc w:val="center"/>
              <w:cnfStyle w:val="100000000000" w:firstRow="1" w:lastRow="0" w:firstColumn="0" w:lastColumn="0" w:oddVBand="0" w:evenVBand="0" w:oddHBand="0" w:evenHBand="0" w:firstRowFirstColumn="0" w:firstRowLastColumn="0" w:lastRowFirstColumn="0" w:lastRowLastColumn="0"/>
              <w:rPr>
                <w:rFonts w:eastAsia="Times New Roman"/>
                <w:color w:val="1F3864" w:themeColor="accent1" w:themeShade="80"/>
                <w:sz w:val="20"/>
                <w:szCs w:val="20"/>
              </w:rPr>
            </w:pPr>
            <w:r w:rsidRPr="00DE1BD4">
              <w:rPr>
                <w:rFonts w:eastAsia="Times New Roman"/>
                <w:color w:val="1F3864" w:themeColor="accent1" w:themeShade="80"/>
                <w:sz w:val="20"/>
                <w:szCs w:val="20"/>
              </w:rPr>
              <w:t>CB</w:t>
            </w:r>
          </w:p>
        </w:tc>
      </w:tr>
      <w:tr w:rsidR="00C94370" w:rsidRPr="00DE1BD4" w14:paraId="5CB2EA4C" w14:textId="77777777" w:rsidTr="00800D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07E979"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Transmission type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9485E6"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Point-to-point</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E19237"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Point-to-area</w:t>
            </w:r>
          </w:p>
        </w:tc>
      </w:tr>
      <w:tr w:rsidR="00C94370" w:rsidRPr="00DE1BD4" w14:paraId="04DF04B9" w14:textId="77777777" w:rsidTr="00800D6C">
        <w:trPr>
          <w:trHeight w:val="6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D346CA"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Mobile number dependency</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4FA3C8"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Requires database of phone numbers</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ACE74"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Does not require database of phone numbers</w:t>
            </w:r>
          </w:p>
        </w:tc>
      </w:tr>
      <w:tr w:rsidR="00C94370" w:rsidRPr="00DE1BD4" w14:paraId="7EE01F7F" w14:textId="77777777" w:rsidTr="00800D6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C4E9BF"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Bi directionality</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83B98"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Yes. Users can respond directly to sender</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23361F"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No. Message should contain a URL or number to reply</w:t>
            </w:r>
          </w:p>
        </w:tc>
      </w:tr>
      <w:tr w:rsidR="00C94370" w:rsidRPr="00DE1BD4" w14:paraId="31EC2663" w14:textId="77777777" w:rsidTr="00800D6C">
        <w:trPr>
          <w:trHeight w:val="6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253BFA"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Granularity</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7AD4F0"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Allows follow-up messaging and customized messages for specific numbers</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47E36B"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No follow-up or customized messaging.</w:t>
            </w:r>
          </w:p>
        </w:tc>
      </w:tr>
      <w:tr w:rsidR="00C94370" w:rsidRPr="00DE1BD4" w14:paraId="5FC17E98" w14:textId="77777777" w:rsidTr="00800D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896560"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Congestion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0303AA"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Subject to network congestion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B09143"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Always available</w:t>
            </w:r>
          </w:p>
        </w:tc>
      </w:tr>
      <w:tr w:rsidR="00C94370" w:rsidRPr="00DE1BD4" w14:paraId="4FB4B3BE" w14:textId="77777777" w:rsidTr="00800D6C">
        <w:trPr>
          <w:trHeight w:val="6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228375"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Security</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9EB1B"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Source of message cannot be verified</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5D4F37"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Only mobile operator or authorities can broadcast messages</w:t>
            </w:r>
          </w:p>
        </w:tc>
      </w:tr>
      <w:tr w:rsidR="00C94370" w:rsidRPr="00DE1BD4" w14:paraId="6A45447D" w14:textId="77777777" w:rsidTr="00800D6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6053CB"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Service barring</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B6F6F"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No barring</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6EC340"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Users can turn off CB reception</w:t>
            </w:r>
          </w:p>
        </w:tc>
      </w:tr>
      <w:tr w:rsidR="00C94370" w:rsidRPr="00DE1BD4" w14:paraId="3B1FE8B6" w14:textId="77777777" w:rsidTr="00800D6C">
        <w:trPr>
          <w:trHeight w:val="3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1723B" w14:textId="77777777" w:rsidR="00C94370" w:rsidRPr="00DE1BD4" w:rsidRDefault="00C94370" w:rsidP="00800D6C">
            <w:pPr>
              <w:jc w:val="left"/>
              <w:rPr>
                <w:rFonts w:eastAsia="Times New Roman"/>
                <w:color w:val="000000"/>
                <w:sz w:val="20"/>
                <w:szCs w:val="20"/>
              </w:rPr>
            </w:pPr>
            <w:r w:rsidRPr="00DE1BD4">
              <w:rPr>
                <w:rFonts w:eastAsia="Times New Roman"/>
                <w:color w:val="000000"/>
                <w:sz w:val="20"/>
                <w:szCs w:val="20"/>
              </w:rPr>
              <w:t>Delivery Confirmation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68472D"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Yes</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7F9264"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Not available</w:t>
            </w:r>
          </w:p>
        </w:tc>
      </w:tr>
      <w:tr w:rsidR="00C94370" w:rsidRPr="00DE1BD4" w14:paraId="4F0B8705" w14:textId="77777777" w:rsidTr="00800D6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F548D" w14:textId="77777777" w:rsidR="00C94370" w:rsidRPr="00DE1BD4" w:rsidRDefault="00C94370">
            <w:pPr>
              <w:rPr>
                <w:rFonts w:eastAsia="Times New Roman"/>
                <w:color w:val="000000"/>
                <w:sz w:val="20"/>
                <w:szCs w:val="20"/>
              </w:rPr>
            </w:pPr>
            <w:r w:rsidRPr="00DE1BD4">
              <w:rPr>
                <w:rFonts w:eastAsia="Times New Roman"/>
                <w:color w:val="000000"/>
                <w:sz w:val="20"/>
                <w:szCs w:val="20"/>
              </w:rPr>
              <w:t>Repetition rate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CB752B"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No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5AEB8F" w14:textId="77777777" w:rsidR="00C94370" w:rsidRPr="00DE1BD4" w:rsidRDefault="00C9437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Message can be repeated between 2 sec. and 32 min.</w:t>
            </w:r>
          </w:p>
        </w:tc>
      </w:tr>
      <w:tr w:rsidR="00C94370" w:rsidRPr="00DE1BD4" w14:paraId="0CCE0B29" w14:textId="77777777" w:rsidTr="00800D6C">
        <w:trPr>
          <w:trHeight w:val="300"/>
          <w:jc w:val="center"/>
        </w:trPr>
        <w:tc>
          <w:tcPr>
            <w:cnfStyle w:val="001000000000" w:firstRow="0" w:lastRow="0" w:firstColumn="1" w:lastColumn="0" w:oddVBand="0" w:evenVBand="0" w:oddHBand="0" w:evenHBand="0" w:firstRowFirstColumn="0" w:firstRowLastColumn="0" w:lastRowFirstColumn="0" w:lastRowLastColumn="0"/>
            <w:tcW w:w="23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479BE4" w14:textId="77777777" w:rsidR="00C94370" w:rsidRPr="00DE1BD4" w:rsidRDefault="00C94370">
            <w:pPr>
              <w:rPr>
                <w:rFonts w:eastAsia="Times New Roman"/>
                <w:color w:val="000000"/>
                <w:sz w:val="20"/>
                <w:szCs w:val="20"/>
              </w:rPr>
            </w:pPr>
            <w:r w:rsidRPr="00DE1BD4">
              <w:rPr>
                <w:rFonts w:eastAsia="Times New Roman"/>
                <w:color w:val="000000"/>
                <w:sz w:val="20"/>
                <w:szCs w:val="20"/>
              </w:rPr>
              <w:t>Language Selection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3441D6"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 xml:space="preserve">Only </w:t>
            </w:r>
            <w:r w:rsidRPr="00DE1BD4">
              <w:rPr>
                <w:sz w:val="20"/>
                <w:szCs w:val="20"/>
              </w:rPr>
              <w:t>based on recipients’ country code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E7792" w14:textId="77777777" w:rsidR="00C94370" w:rsidRPr="00DE1BD4" w:rsidRDefault="00C9437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1BD4">
              <w:rPr>
                <w:rFonts w:eastAsia="Times New Roman"/>
                <w:color w:val="000000"/>
                <w:sz w:val="20"/>
                <w:szCs w:val="20"/>
              </w:rPr>
              <w:t>Yes</w:t>
            </w:r>
          </w:p>
        </w:tc>
      </w:tr>
    </w:tbl>
    <w:p w14:paraId="578EE5C1" w14:textId="77777777" w:rsidR="00C94370" w:rsidRPr="00DE1BD4" w:rsidRDefault="00C94370" w:rsidP="00C94370">
      <w:pPr>
        <w:autoSpaceDE w:val="0"/>
        <w:autoSpaceDN w:val="0"/>
        <w:adjustRightInd w:val="0"/>
        <w:spacing w:after="0"/>
        <w:jc w:val="center"/>
        <w:rPr>
          <w:rFonts w:asciiTheme="minorHAnsi" w:eastAsia="Times New Roman" w:hAnsiTheme="minorHAnsi" w:cstheme="minorHAnsi"/>
          <w:sz w:val="18"/>
          <w:szCs w:val="18"/>
        </w:rPr>
      </w:pPr>
    </w:p>
    <w:p w14:paraId="6A21A2D6" w14:textId="77777777" w:rsidR="00B64278" w:rsidRDefault="00C94370" w:rsidP="00C94370">
      <w:pPr>
        <w:autoSpaceDE w:val="0"/>
        <w:autoSpaceDN w:val="0"/>
        <w:adjustRightInd w:val="0"/>
        <w:spacing w:after="0"/>
        <w:rPr>
          <w:rFonts w:eastAsia="Times New Roman" w:cstheme="minorHAnsi"/>
        </w:rPr>
      </w:pPr>
      <w:r w:rsidRPr="00DE1BD4">
        <w:rPr>
          <w:rFonts w:eastAsia="Times New Roman" w:cstheme="minorHAnsi"/>
        </w:rPr>
        <w:t>In general, any of the technologies described, CB and LB-SMS, can be very useful when it comes to disseminating early warnings or relevant information during a disaster response. Cell Broadcast allows sending instantly loud distinctive alerts to a very wide population without congesting the network, while Location-Based SMS makes it possible to send traditional alert messages point-to-point in each area. It is highly recommended to deploy both technologies in a complementary manner</w:t>
      </w:r>
      <w:r w:rsidRPr="0045782B">
        <w:rPr>
          <w:rStyle w:val="FootnoteReference"/>
        </w:rPr>
        <w:footnoteReference w:id="166"/>
      </w:r>
      <w:r w:rsidRPr="00DE1BD4">
        <w:rPr>
          <w:rFonts w:eastAsia="Times New Roman" w:cstheme="minorHAnsi"/>
        </w:rPr>
        <w:t xml:space="preserve">. </w:t>
      </w:r>
    </w:p>
    <w:p w14:paraId="49AD3479" w14:textId="20D36DA2" w:rsidR="00C94370" w:rsidRPr="00DE1BD4" w:rsidRDefault="00C94370" w:rsidP="00B64278">
      <w:pPr>
        <w:autoSpaceDE w:val="0"/>
        <w:autoSpaceDN w:val="0"/>
        <w:adjustRightInd w:val="0"/>
        <w:spacing w:before="240" w:after="0"/>
        <w:rPr>
          <w:rFonts w:ascii="Arial" w:eastAsia="Times New Roman" w:hAnsi="Arial" w:cs="Arial"/>
          <w:color w:val="4472C4" w:themeColor="accent1"/>
          <w:sz w:val="24"/>
          <w:szCs w:val="24"/>
        </w:rPr>
      </w:pPr>
      <w:r w:rsidRPr="00DE1BD4">
        <w:rPr>
          <w:rFonts w:eastAsia="Times New Roman" w:cstheme="minorHAnsi"/>
        </w:rPr>
        <w:t>With both technologies, DRM authorities can use CB for larger-scale emergencies, for instance, that require rapid alerting to a large population, or for events that are more likely to congest the mobile network, such as earthquakes, tsunamis, or hurricanes. While LB-SMS can be used for prolonged emergencies that require regular updates, for example, such as heat waves or pandemics. To sum up,</w:t>
      </w:r>
      <w:r w:rsidR="00A212D9" w:rsidRPr="00DE1BD4">
        <w:rPr>
          <w:rFonts w:eastAsia="Times New Roman" w:cstheme="minorHAnsi"/>
        </w:rPr>
        <w:t xml:space="preserve"> </w:t>
      </w:r>
      <w:r w:rsidR="00A212D9" w:rsidRPr="00DE1BD4">
        <w:rPr>
          <w:rFonts w:eastAsia="Times New Roman" w:cstheme="minorHAnsi"/>
        </w:rPr>
        <w:fldChar w:fldCharType="begin"/>
      </w:r>
      <w:r w:rsidR="00A212D9" w:rsidRPr="00DE1BD4">
        <w:rPr>
          <w:rFonts w:eastAsia="Times New Roman" w:cstheme="minorHAnsi"/>
        </w:rPr>
        <w:instrText xml:space="preserve"> REF _Ref168500503 \h </w:instrText>
      </w:r>
      <w:r w:rsidR="00A212D9" w:rsidRPr="00DE1BD4">
        <w:rPr>
          <w:rFonts w:eastAsia="Times New Roman" w:cstheme="minorHAnsi"/>
        </w:rPr>
      </w:r>
      <w:r w:rsidR="00A212D9" w:rsidRPr="00DE1BD4">
        <w:rPr>
          <w:rFonts w:eastAsia="Times New Roman" w:cstheme="minorHAnsi"/>
        </w:rPr>
        <w:fldChar w:fldCharType="separate"/>
      </w:r>
      <w:r w:rsidR="00A212D9" w:rsidRPr="00DE1BD4">
        <w:t>Table 14</w:t>
      </w:r>
      <w:r w:rsidR="00A212D9" w:rsidRPr="00DE1BD4">
        <w:rPr>
          <w:rFonts w:eastAsia="Times New Roman" w:cstheme="minorHAnsi"/>
        </w:rPr>
        <w:fldChar w:fldCharType="end"/>
      </w:r>
      <w:r w:rsidR="00A212D9" w:rsidRPr="00DE1BD4">
        <w:rPr>
          <w:rFonts w:eastAsia="Times New Roman" w:cstheme="minorHAnsi"/>
        </w:rPr>
        <w:t xml:space="preserve"> above</w:t>
      </w:r>
      <w:r w:rsidRPr="00DE1BD4">
        <w:rPr>
          <w:rFonts w:ascii="Arial" w:eastAsia="Times New Roman" w:hAnsi="Arial" w:cs="Arial"/>
          <w:color w:val="4472C4" w:themeColor="accent1"/>
          <w:sz w:val="24"/>
          <w:szCs w:val="24"/>
        </w:rPr>
        <w:t xml:space="preserve"> </w:t>
      </w:r>
      <w:r w:rsidRPr="00DE1BD4">
        <w:rPr>
          <w:rFonts w:eastAsia="Times New Roman" w:cstheme="minorHAnsi"/>
        </w:rPr>
        <w:t>compares the main characteristics and capabilities of both technologies, LB-SMS, and CB.</w:t>
      </w:r>
    </w:p>
    <w:p w14:paraId="57AF51F6" w14:textId="58D6056B" w:rsidR="00E60534" w:rsidRPr="00DE1BD4" w:rsidRDefault="002A3BE7" w:rsidP="002564EE">
      <w:pPr>
        <w:spacing w:before="240"/>
        <w:rPr>
          <w:b/>
          <w:bCs/>
          <w:i/>
          <w:iCs/>
        </w:rPr>
      </w:pPr>
      <w:bookmarkStart w:id="482" w:name="_Hlk168586800"/>
      <w:r w:rsidRPr="00DE1BD4">
        <w:rPr>
          <w:b/>
          <w:bCs/>
          <w:i/>
          <w:iCs/>
        </w:rPr>
        <w:t xml:space="preserve">Implementation Task </w:t>
      </w:r>
      <w:r w:rsidR="00FE608D">
        <w:rPr>
          <w:b/>
          <w:bCs/>
          <w:i/>
          <w:iCs/>
        </w:rPr>
        <w:t>8</w:t>
      </w:r>
      <w:r w:rsidR="00E60534" w:rsidRPr="00DE1BD4">
        <w:rPr>
          <w:b/>
          <w:bCs/>
          <w:i/>
          <w:iCs/>
        </w:rPr>
        <w:t>:</w:t>
      </w:r>
    </w:p>
    <w:p w14:paraId="47EF66B1" w14:textId="436531EF" w:rsidR="000B31E4" w:rsidRPr="00DE1BD4" w:rsidRDefault="00424441" w:rsidP="00E60534">
      <w:pPr>
        <w:rPr>
          <w:i/>
          <w:iCs/>
        </w:rPr>
      </w:pPr>
      <w:r w:rsidRPr="00063E1B">
        <w:rPr>
          <w:i/>
          <w:iCs/>
          <w:highlight w:val="yellow"/>
        </w:rPr>
        <w:t>NDMA,</w:t>
      </w:r>
      <w:r w:rsidR="000B31E4" w:rsidRPr="00063E1B">
        <w:rPr>
          <w:i/>
          <w:iCs/>
          <w:highlight w:val="yellow"/>
        </w:rPr>
        <w:t xml:space="preserve"> M</w:t>
      </w:r>
      <w:r w:rsidR="00963CF3">
        <w:rPr>
          <w:i/>
          <w:iCs/>
          <w:highlight w:val="yellow"/>
        </w:rPr>
        <w:t>oCDE</w:t>
      </w:r>
      <w:r w:rsidR="000B31E4" w:rsidRPr="00063E1B">
        <w:rPr>
          <w:i/>
          <w:iCs/>
          <w:highlight w:val="yellow"/>
        </w:rPr>
        <w:t xml:space="preserve"> and </w:t>
      </w:r>
      <w:r w:rsidRPr="00063E1B">
        <w:rPr>
          <w:i/>
          <w:iCs/>
          <w:highlight w:val="yellow"/>
        </w:rPr>
        <w:t>PURA</w:t>
      </w:r>
      <w:r w:rsidR="000B31E4" w:rsidRPr="00AF7565">
        <w:rPr>
          <w:i/>
          <w:iCs/>
        </w:rPr>
        <w:t xml:space="preserve"> should</w:t>
      </w:r>
      <w:r w:rsidR="000B31E4" w:rsidRPr="00DE1BD4">
        <w:rPr>
          <w:i/>
          <w:iCs/>
        </w:rPr>
        <w:t xml:space="preserve"> conduct an audit of </w:t>
      </w:r>
      <w:r>
        <w:rPr>
          <w:i/>
          <w:iCs/>
        </w:rPr>
        <w:t xml:space="preserve">early warning </w:t>
      </w:r>
      <w:r w:rsidR="000B31E4" w:rsidRPr="00DE1BD4">
        <w:rPr>
          <w:i/>
          <w:iCs/>
        </w:rPr>
        <w:t xml:space="preserve">monitoring solutions and systems that are currently in place in </w:t>
      </w:r>
      <w:r w:rsidR="002564EE" w:rsidRPr="00DE1BD4">
        <w:rPr>
          <w:i/>
          <w:iCs/>
        </w:rPr>
        <w:t>T</w:t>
      </w:r>
      <w:r>
        <w:rPr>
          <w:i/>
          <w:iCs/>
        </w:rPr>
        <w:t>he Gambia</w:t>
      </w:r>
      <w:r w:rsidR="000B31E4" w:rsidRPr="00DE1BD4">
        <w:rPr>
          <w:i/>
          <w:iCs/>
        </w:rPr>
        <w:t>.</w:t>
      </w:r>
      <w:r w:rsidR="009E4825" w:rsidRPr="00DE1BD4">
        <w:rPr>
          <w:i/>
          <w:iCs/>
        </w:rPr>
        <w:t xml:space="preserve"> This will provide the necessary input information</w:t>
      </w:r>
      <w:r w:rsidR="000C638B" w:rsidRPr="00DE1BD4">
        <w:rPr>
          <w:i/>
          <w:iCs/>
        </w:rPr>
        <w:t xml:space="preserve"> for an aggregator solution for the early warning system.</w:t>
      </w:r>
    </w:p>
    <w:p w14:paraId="5F056F6C" w14:textId="0BA185F8" w:rsidR="005061A7" w:rsidRPr="00DE1BD4" w:rsidRDefault="002564EE" w:rsidP="00E60534">
      <w:r w:rsidRPr="00DE1BD4">
        <w:rPr>
          <w:i/>
          <w:iCs/>
        </w:rPr>
        <w:t>T</w:t>
      </w:r>
      <w:r w:rsidR="00063E1B">
        <w:rPr>
          <w:i/>
          <w:iCs/>
        </w:rPr>
        <w:t>he Gambia</w:t>
      </w:r>
      <w:r w:rsidR="005061A7" w:rsidRPr="00DE1BD4">
        <w:rPr>
          <w:i/>
          <w:iCs/>
        </w:rPr>
        <w:t xml:space="preserve"> must continue to develop surveillance and monitoring systems for probable threats prior to the occurrence of disasters and/or emergencies</w:t>
      </w:r>
      <w:r w:rsidR="00E52B5C" w:rsidRPr="00DE1BD4">
        <w:rPr>
          <w:i/>
          <w:iCs/>
        </w:rPr>
        <w:t xml:space="preserve"> however these should be integrated into any early warning system that is to be developed.</w:t>
      </w:r>
    </w:p>
    <w:p w14:paraId="7BE8294C" w14:textId="42709A8E" w:rsidR="00E60534" w:rsidRDefault="000B31E4" w:rsidP="00E60534">
      <w:pPr>
        <w:rPr>
          <w:i/>
          <w:iCs/>
        </w:rPr>
      </w:pPr>
      <w:r w:rsidRPr="00AF7565">
        <w:rPr>
          <w:i/>
          <w:iCs/>
        </w:rPr>
        <w:t xml:space="preserve">Utilising this information </w:t>
      </w:r>
      <w:r w:rsidR="00063E1B" w:rsidRPr="00063E1B">
        <w:rPr>
          <w:i/>
          <w:iCs/>
          <w:highlight w:val="yellow"/>
        </w:rPr>
        <w:t>NDMA</w:t>
      </w:r>
      <w:r w:rsidR="006D1531" w:rsidRPr="00063E1B">
        <w:rPr>
          <w:i/>
          <w:iCs/>
          <w:highlight w:val="yellow"/>
        </w:rPr>
        <w:t xml:space="preserve"> and M</w:t>
      </w:r>
      <w:r w:rsidR="00963CF3">
        <w:rPr>
          <w:i/>
          <w:iCs/>
          <w:highlight w:val="yellow"/>
        </w:rPr>
        <w:t>oCDE</w:t>
      </w:r>
      <w:r w:rsidR="006D1531" w:rsidRPr="00AF7565">
        <w:rPr>
          <w:i/>
          <w:iCs/>
        </w:rPr>
        <w:t xml:space="preserve"> should</w:t>
      </w:r>
      <w:r w:rsidR="006D1531" w:rsidRPr="00DE1BD4">
        <w:rPr>
          <w:i/>
          <w:iCs/>
        </w:rPr>
        <w:t xml:space="preserve"> move to </w:t>
      </w:r>
      <w:r w:rsidR="00E60534" w:rsidRPr="00DE1BD4">
        <w:rPr>
          <w:i/>
          <w:iCs/>
        </w:rPr>
        <w:t xml:space="preserve">develop and improve </w:t>
      </w:r>
      <w:r w:rsidR="00843F32">
        <w:rPr>
          <w:i/>
          <w:iCs/>
        </w:rPr>
        <w:t xml:space="preserve">an </w:t>
      </w:r>
      <w:r w:rsidR="00E60534" w:rsidRPr="00DE1BD4">
        <w:rPr>
          <w:i/>
          <w:iCs/>
        </w:rPr>
        <w:t>early warning and alerting systems</w:t>
      </w:r>
      <w:r w:rsidR="006D1531" w:rsidRPr="00DE1BD4">
        <w:rPr>
          <w:i/>
          <w:iCs/>
        </w:rPr>
        <w:t xml:space="preserve"> strategy including the </w:t>
      </w:r>
      <w:r w:rsidR="009E4825" w:rsidRPr="00DE1BD4">
        <w:rPr>
          <w:i/>
          <w:iCs/>
        </w:rPr>
        <w:t>implementation/</w:t>
      </w:r>
      <w:r w:rsidR="00E60534" w:rsidRPr="00DE1BD4">
        <w:rPr>
          <w:i/>
          <w:iCs/>
        </w:rPr>
        <w:t xml:space="preserve">development of a centralised alert aggregator </w:t>
      </w:r>
      <w:r w:rsidR="005C5899">
        <w:rPr>
          <w:i/>
          <w:iCs/>
        </w:rPr>
        <w:t xml:space="preserve">to take advantage of the </w:t>
      </w:r>
      <w:r w:rsidR="00E60534" w:rsidRPr="00DE1BD4">
        <w:rPr>
          <w:i/>
          <w:iCs/>
        </w:rPr>
        <w:t xml:space="preserve">Common Alert Protocol (CAP) </w:t>
      </w:r>
      <w:r w:rsidR="005C5899">
        <w:rPr>
          <w:i/>
          <w:iCs/>
        </w:rPr>
        <w:t xml:space="preserve">implementation and </w:t>
      </w:r>
      <w:r w:rsidR="00E60534" w:rsidRPr="00DE1BD4">
        <w:rPr>
          <w:i/>
          <w:iCs/>
        </w:rPr>
        <w:t xml:space="preserve">to help with consistent, authoritative, impact-based forecast and alert messaging. </w:t>
      </w:r>
      <w:bookmarkStart w:id="483" w:name="_Hlk181885529"/>
      <w:commentRangeStart w:id="484"/>
      <w:r w:rsidR="00E60534" w:rsidRPr="00DE1BD4">
        <w:rPr>
          <w:i/>
          <w:iCs/>
        </w:rPr>
        <w:t>The appropriate staff should undertake WMO’s online CAP training</w:t>
      </w:r>
      <w:r w:rsidR="00787A97">
        <w:rPr>
          <w:i/>
          <w:iCs/>
        </w:rPr>
        <w:t>,</w:t>
      </w:r>
      <w:r w:rsidR="00E60534" w:rsidRPr="00DE1BD4">
        <w:rPr>
          <w:i/>
          <w:iCs/>
        </w:rPr>
        <w:t xml:space="preserve"> a </w:t>
      </w:r>
      <w:proofErr w:type="gramStart"/>
      <w:r w:rsidR="00E60534" w:rsidRPr="00DE1BD4">
        <w:rPr>
          <w:i/>
          <w:iCs/>
        </w:rPr>
        <w:t>CREWS</w:t>
      </w:r>
      <w:proofErr w:type="gramEnd"/>
      <w:r w:rsidR="00E60534" w:rsidRPr="00DE1BD4">
        <w:rPr>
          <w:i/>
          <w:iCs/>
        </w:rPr>
        <w:t xml:space="preserve"> workshop</w:t>
      </w:r>
      <w:r w:rsidR="00843F32">
        <w:rPr>
          <w:i/>
          <w:iCs/>
        </w:rPr>
        <w:t xml:space="preserve"> if not already </w:t>
      </w:r>
      <w:r w:rsidR="00A6447C">
        <w:rPr>
          <w:i/>
          <w:iCs/>
        </w:rPr>
        <w:t>undertaken</w:t>
      </w:r>
      <w:commentRangeEnd w:id="484"/>
      <w:r w:rsidR="0004473B">
        <w:rPr>
          <w:rStyle w:val="CommentReference"/>
        </w:rPr>
        <w:commentReference w:id="484"/>
      </w:r>
      <w:r w:rsidR="00787A97">
        <w:rPr>
          <w:i/>
          <w:iCs/>
        </w:rPr>
        <w:t xml:space="preserve"> or an ITU CAP Implementation </w:t>
      </w:r>
      <w:r w:rsidR="0080591C">
        <w:rPr>
          <w:i/>
          <w:iCs/>
        </w:rPr>
        <w:t>Workshop</w:t>
      </w:r>
      <w:bookmarkEnd w:id="483"/>
      <w:r w:rsidR="00843F32">
        <w:rPr>
          <w:i/>
          <w:iCs/>
        </w:rPr>
        <w:t>.</w:t>
      </w:r>
    </w:p>
    <w:p w14:paraId="58741805" w14:textId="28BA5A46" w:rsidR="00A6447C" w:rsidRPr="00DE1BD4" w:rsidRDefault="00A6447C" w:rsidP="00E60534">
      <w:pPr>
        <w:rPr>
          <w:i/>
          <w:iCs/>
        </w:rPr>
      </w:pPr>
      <w:r w:rsidRPr="00DE1BD4">
        <w:rPr>
          <w:i/>
          <w:iCs/>
        </w:rPr>
        <w:t>The current Common Alerting Protocol (CAP) Alerting implementation should be examined to assess its efficacy and identify opportunities for expanding its reach to as broad several different channels as possible. Any dependencies for downloading applications to mobile devices should be assessed for limitations in scope and coverage</w:t>
      </w:r>
      <w:r>
        <w:rPr>
          <w:i/>
          <w:iCs/>
        </w:rPr>
        <w:t>.</w:t>
      </w:r>
    </w:p>
    <w:p w14:paraId="3A404B1F" w14:textId="225508DE" w:rsidR="00E60534" w:rsidRPr="00DE1BD4" w:rsidRDefault="00843F32" w:rsidP="00E60534">
      <w:pPr>
        <w:rPr>
          <w:rFonts w:asciiTheme="minorHAnsi" w:hAnsiTheme="minorHAnsi" w:cstheme="minorHAnsi"/>
          <w:i/>
          <w:iCs/>
        </w:rPr>
      </w:pPr>
      <w:r>
        <w:rPr>
          <w:rFonts w:asciiTheme="minorHAnsi" w:hAnsiTheme="minorHAnsi" w:cstheme="minorHAnsi"/>
          <w:i/>
          <w:iCs/>
        </w:rPr>
        <w:t>PURA</w:t>
      </w:r>
      <w:r w:rsidR="00E60534" w:rsidRPr="00DE1BD4">
        <w:rPr>
          <w:rFonts w:asciiTheme="minorHAnsi" w:hAnsiTheme="minorHAnsi" w:cstheme="minorHAnsi"/>
          <w:i/>
          <w:iCs/>
        </w:rPr>
        <w:t xml:space="preserve"> should work with the carriers to develop</w:t>
      </w:r>
      <w:r w:rsidR="00BE6958" w:rsidRPr="00DE1BD4">
        <w:rPr>
          <w:rFonts w:asciiTheme="minorHAnsi" w:hAnsiTheme="minorHAnsi" w:cstheme="minorHAnsi"/>
          <w:i/>
          <w:iCs/>
        </w:rPr>
        <w:t>/implement</w:t>
      </w:r>
      <w:r w:rsidR="00E60534" w:rsidRPr="00DE1BD4">
        <w:rPr>
          <w:rFonts w:asciiTheme="minorHAnsi" w:hAnsiTheme="minorHAnsi" w:cstheme="minorHAnsi"/>
          <w:i/>
          <w:iCs/>
        </w:rPr>
        <w:t xml:space="preserve"> a Cell Broadcast capability to send alerts via the mobile network infrastructure. Ideally this will build on the CAP implementation.</w:t>
      </w:r>
    </w:p>
    <w:p w14:paraId="65C87E4F" w14:textId="224A0B62" w:rsidR="00BE6958" w:rsidRPr="00DE1BD4" w:rsidRDefault="00A6447C" w:rsidP="00E60534">
      <w:pPr>
        <w:rPr>
          <w:rFonts w:asciiTheme="minorHAnsi" w:hAnsiTheme="minorHAnsi" w:cstheme="minorHAnsi"/>
          <w:i/>
          <w:iCs/>
        </w:rPr>
      </w:pPr>
      <w:r>
        <w:rPr>
          <w:rFonts w:asciiTheme="minorHAnsi" w:hAnsiTheme="minorHAnsi" w:cstheme="minorHAnsi"/>
          <w:i/>
          <w:iCs/>
        </w:rPr>
        <w:t>PU</w:t>
      </w:r>
      <w:r w:rsidR="002564EE" w:rsidRPr="00DE1BD4">
        <w:rPr>
          <w:rFonts w:asciiTheme="minorHAnsi" w:hAnsiTheme="minorHAnsi" w:cstheme="minorHAnsi"/>
          <w:i/>
          <w:iCs/>
        </w:rPr>
        <w:t>RA</w:t>
      </w:r>
      <w:r w:rsidR="00BE6958" w:rsidRPr="00DE1BD4">
        <w:rPr>
          <w:rFonts w:asciiTheme="minorHAnsi" w:hAnsiTheme="minorHAnsi" w:cstheme="minorHAnsi"/>
          <w:i/>
          <w:iCs/>
        </w:rPr>
        <w:t xml:space="preserve"> should work with </w:t>
      </w:r>
      <w:r w:rsidR="00C9276E" w:rsidRPr="00DE1BD4">
        <w:rPr>
          <w:rFonts w:asciiTheme="minorHAnsi" w:hAnsiTheme="minorHAnsi" w:cstheme="minorHAnsi"/>
          <w:i/>
          <w:iCs/>
        </w:rPr>
        <w:t>broadcasters</w:t>
      </w:r>
      <w:r w:rsidR="004C546A" w:rsidRPr="00DE1BD4">
        <w:rPr>
          <w:rFonts w:asciiTheme="minorHAnsi" w:hAnsiTheme="minorHAnsi" w:cstheme="minorHAnsi"/>
          <w:i/>
          <w:iCs/>
        </w:rPr>
        <w:t xml:space="preserve"> to develop/implement the capability to send alerts via the broadcast radio and TV network infrastructure. Ideally this will build on the CAP implementation</w:t>
      </w:r>
    </w:p>
    <w:p w14:paraId="0E41FB83" w14:textId="2890E611" w:rsidR="009F0B8D" w:rsidRPr="00DE1BD4" w:rsidRDefault="009F0B8D" w:rsidP="009F0B8D">
      <w:r w:rsidRPr="00DE1BD4">
        <w:rPr>
          <w:i/>
          <w:iCs/>
        </w:rPr>
        <w:t>The role of amateur radio should also be reviewed to establish opportunities for further refinement.</w:t>
      </w:r>
    </w:p>
    <w:bookmarkEnd w:id="482"/>
    <w:p w14:paraId="33E5FBF5" w14:textId="77777777" w:rsidR="009F0B8D" w:rsidRPr="00DE1BD4" w:rsidRDefault="009F0B8D" w:rsidP="00E60534"/>
    <w:p w14:paraId="20AF30F3" w14:textId="5DE0E089" w:rsidR="00E60534" w:rsidRPr="00DE1BD4" w:rsidRDefault="00E60534">
      <w:pPr>
        <w:jc w:val="left"/>
      </w:pPr>
      <w:r w:rsidRPr="00DE1BD4">
        <w:br w:type="page"/>
      </w:r>
    </w:p>
    <w:p w14:paraId="761301A2" w14:textId="2EF241AF" w:rsidR="00544D3D" w:rsidRPr="00DE1BD4" w:rsidRDefault="00DC15F6" w:rsidP="00544D3D">
      <w:pPr>
        <w:pStyle w:val="Heading1"/>
      </w:pPr>
      <w:bookmarkStart w:id="485" w:name="_3mzq4wv"/>
      <w:bookmarkStart w:id="486" w:name="_Toc90825920"/>
      <w:bookmarkStart w:id="487" w:name="_Toc90826032"/>
      <w:bookmarkStart w:id="488" w:name="_Toc91172688"/>
      <w:bookmarkStart w:id="489" w:name="_Toc91185575"/>
      <w:bookmarkStart w:id="490" w:name="_Toc181885832"/>
      <w:bookmarkEnd w:id="476"/>
      <w:bookmarkEnd w:id="485"/>
      <w:r w:rsidRPr="00DE1BD4">
        <w:t xml:space="preserve">Training and </w:t>
      </w:r>
      <w:r w:rsidR="00B56641" w:rsidRPr="00DE1BD4">
        <w:t>Drills</w:t>
      </w:r>
      <w:bookmarkEnd w:id="486"/>
      <w:bookmarkEnd w:id="487"/>
      <w:bookmarkEnd w:id="488"/>
      <w:bookmarkEnd w:id="489"/>
      <w:bookmarkEnd w:id="490"/>
    </w:p>
    <w:p w14:paraId="19F0BD8F" w14:textId="2CBBA8E6" w:rsidR="00DC15F6" w:rsidRPr="00DE1BD4" w:rsidRDefault="00DC15F6" w:rsidP="00DC15F6">
      <w:pPr>
        <w:rPr>
          <w:i/>
          <w:iCs/>
        </w:rPr>
      </w:pPr>
      <w:r w:rsidRPr="00DE1BD4">
        <w:rPr>
          <w:i/>
          <w:iCs/>
        </w:rPr>
        <w:t>Telecommunications trainings and drills for emergencies should be regularly carried out to improve emergency responders’ capacity with communications equipment as well as to enhance their ability to execute policies, plans, and procedures governing the use of communications networks.</w:t>
      </w:r>
    </w:p>
    <w:p w14:paraId="475F7CC9" w14:textId="77777777" w:rsidR="002160E7" w:rsidRPr="002160E7" w:rsidRDefault="002160E7" w:rsidP="002160E7">
      <w:pPr>
        <w:jc w:val="center"/>
        <w:rPr>
          <w:b/>
          <w:bCs/>
        </w:rPr>
      </w:pPr>
      <w:bookmarkStart w:id="491" w:name="_Hlk181882226"/>
      <w:r w:rsidRPr="002160E7">
        <w:rPr>
          <w:b/>
          <w:bCs/>
          <w:highlight w:val="yellow"/>
        </w:rPr>
        <w:t>To be updated following stakeholder consultation</w:t>
      </w:r>
    </w:p>
    <w:bookmarkEnd w:id="491"/>
    <w:p w14:paraId="30F8C18A" w14:textId="38C66A3A" w:rsidR="00337C7F" w:rsidRPr="00DE1BD4" w:rsidRDefault="00DC15F6" w:rsidP="00886E56">
      <w:pPr>
        <w:rPr>
          <w:highlight w:val="white"/>
        </w:rPr>
      </w:pPr>
      <w:r w:rsidRPr="00DE1BD4">
        <w:t xml:space="preserve">The </w:t>
      </w:r>
      <w:r w:rsidR="00A25FA9" w:rsidRPr="00DE1BD4">
        <w:t xml:space="preserve">development of an effective </w:t>
      </w:r>
      <w:r w:rsidR="00162A87" w:rsidRPr="00DE1BD4">
        <w:t>NETP</w:t>
      </w:r>
      <w:r w:rsidR="00A25FA9" w:rsidRPr="00DE1BD4">
        <w:t xml:space="preserve"> should </w:t>
      </w:r>
      <w:r w:rsidR="0079375B" w:rsidRPr="00DE1BD4">
        <w:t xml:space="preserve">also </w:t>
      </w:r>
      <w:r w:rsidR="00A25FA9" w:rsidRPr="00DE1BD4">
        <w:t>includ</w:t>
      </w:r>
      <w:r w:rsidR="0079375B" w:rsidRPr="00DE1BD4">
        <w:t>e</w:t>
      </w:r>
      <w:r w:rsidR="00A25FA9" w:rsidRPr="00DE1BD4">
        <w:t xml:space="preserve"> practical strategies that improve the capacities and training of all people involved in the management of emergency </w:t>
      </w:r>
      <w:r w:rsidR="00AD76A8" w:rsidRPr="00DE1BD4">
        <w:t>telecom/ICT</w:t>
      </w:r>
      <w:r w:rsidR="00162A87" w:rsidRPr="00DE1BD4">
        <w:t>.</w:t>
      </w:r>
      <w:r w:rsidR="00BF47D6" w:rsidRPr="00DE1BD4">
        <w:t xml:space="preserve"> </w:t>
      </w:r>
      <w:r w:rsidR="00ED388C" w:rsidRPr="00DE1BD4">
        <w:t>The</w:t>
      </w:r>
      <w:r w:rsidR="00BF47D6" w:rsidRPr="00DE1BD4">
        <w:t xml:space="preserve"> development of these capabilities improves the speed, quality and effectiveness of emergency preparedness and response.</w:t>
      </w:r>
      <w:r w:rsidR="00337C7F" w:rsidRPr="00DE1BD4">
        <w:t xml:space="preserve"> Effective training and exercise programs can reinforce the competence of emergency services with telecommunications equipment, as well as improve their ability to execute the policies, plans and procedures that govern the use of telecommunications throughout the process of disaster risk management</w:t>
      </w:r>
      <w:r w:rsidR="00337C7F" w:rsidRPr="0045782B">
        <w:rPr>
          <w:rStyle w:val="FootnoteReference"/>
          <w:highlight w:val="white"/>
        </w:rPr>
        <w:footnoteReference w:id="167"/>
      </w:r>
      <w:r w:rsidR="005A2C8E" w:rsidRPr="00DE1BD4">
        <w:t>.</w:t>
      </w:r>
    </w:p>
    <w:p w14:paraId="11F11CC6" w14:textId="6DAD086A" w:rsidR="00886E56" w:rsidRDefault="00337C7F" w:rsidP="00D20C52">
      <w:r w:rsidRPr="00DE1BD4">
        <w:t>It is important that these trainings and drills occur in all the areas identified throughout the planning process (including institutional capacity, management of telecom/ICT networks, among others), and that they involve all actors, from administrators that lead the emergency responses, to the general community that uses telecom/ICT.</w:t>
      </w:r>
      <w:r w:rsidR="00872AAB">
        <w:t xml:space="preserve"> </w:t>
      </w:r>
      <w:r w:rsidR="00766D40">
        <w:t>There are</w:t>
      </w:r>
      <w:r w:rsidR="00840CE6">
        <w:t xml:space="preserve"> </w:t>
      </w:r>
      <w:r w:rsidR="003212FF">
        <w:t>several</w:t>
      </w:r>
      <w:r w:rsidR="00C07743">
        <w:t xml:space="preserve"> areas that simulations can be beneficial, such as</w:t>
      </w:r>
      <w:r w:rsidR="00C26133">
        <w:t xml:space="preserve"> but not limited to,</w:t>
      </w:r>
    </w:p>
    <w:p w14:paraId="79D4600C" w14:textId="1FA8A4EC" w:rsidR="00C07743" w:rsidRDefault="003212FF" w:rsidP="00963CF3">
      <w:pPr>
        <w:pStyle w:val="ListParagraph"/>
        <w:numPr>
          <w:ilvl w:val="0"/>
          <w:numId w:val="48"/>
        </w:numPr>
      </w:pPr>
      <w:r>
        <w:t xml:space="preserve">Testing national and local strategies, protocols and frameworks </w:t>
      </w:r>
      <w:r w:rsidR="0051402F">
        <w:t>on the use of ICT for disaster response</w:t>
      </w:r>
    </w:p>
    <w:p w14:paraId="574E71A0" w14:textId="1C1A7CC2" w:rsidR="0051402F" w:rsidRDefault="0051402F" w:rsidP="00963CF3">
      <w:pPr>
        <w:pStyle w:val="ListParagraph"/>
        <w:numPr>
          <w:ilvl w:val="0"/>
          <w:numId w:val="48"/>
        </w:numPr>
      </w:pPr>
      <w:r>
        <w:t>Identify gaps and challenges</w:t>
      </w:r>
    </w:p>
    <w:p w14:paraId="5051FF89" w14:textId="5534F561" w:rsidR="0051402F" w:rsidRPr="00DE1BD4" w:rsidRDefault="0051402F" w:rsidP="00963CF3">
      <w:pPr>
        <w:pStyle w:val="ListParagraph"/>
        <w:numPr>
          <w:ilvl w:val="0"/>
          <w:numId w:val="48"/>
        </w:numPr>
      </w:pPr>
      <w:r>
        <w:t>Test the roles and responsibilities of various stakeholders</w:t>
      </w:r>
    </w:p>
    <w:p w14:paraId="67E66DED" w14:textId="1A4B1371" w:rsidR="00EE6DA3" w:rsidRPr="00DE1BD4" w:rsidRDefault="00EE6DA3" w:rsidP="00EE6DA3">
      <w:r w:rsidRPr="00DE1BD4">
        <w:t xml:space="preserve">The Emergency Telecommunications </w:t>
      </w:r>
      <w:commentRangeStart w:id="492"/>
      <w:r w:rsidRPr="00436CCA">
        <w:rPr>
          <w:i/>
          <w:iCs/>
        </w:rPr>
        <w:t>Table-top Simulation Guide</w:t>
      </w:r>
      <w:commentRangeEnd w:id="492"/>
      <w:r w:rsidR="00E60BDE" w:rsidRPr="00436CCA">
        <w:rPr>
          <w:rStyle w:val="CommentReference"/>
          <w:i/>
          <w:iCs/>
        </w:rPr>
        <w:commentReference w:id="492"/>
      </w:r>
      <w:r w:rsidR="002D721D" w:rsidRPr="002D721D">
        <w:rPr>
          <w:rStyle w:val="FootnoteReference"/>
        </w:rPr>
        <w:t xml:space="preserve"> </w:t>
      </w:r>
      <w:r w:rsidR="002D721D" w:rsidRPr="0045782B">
        <w:rPr>
          <w:rStyle w:val="FootnoteReference"/>
        </w:rPr>
        <w:footnoteReference w:id="168"/>
      </w:r>
      <w:r w:rsidRPr="00DE1BD4">
        <w:t xml:space="preserve">, developed by the ITU, as well as the online training tool on </w:t>
      </w:r>
      <w:r w:rsidRPr="007F1CC0">
        <w:rPr>
          <w:rFonts w:eastAsia="Times New Roman"/>
          <w:i/>
          <w:iCs/>
        </w:rPr>
        <w:t>How to Develop Tabletop Simulation Exercises (TTX)</w:t>
      </w:r>
      <w:r w:rsidRPr="00DE1BD4">
        <w:rPr>
          <w:rFonts w:eastAsia="Times New Roman"/>
        </w:rPr>
        <w:t>,</w:t>
      </w:r>
      <w:r w:rsidRPr="00DE1BD4">
        <w:t xml:space="preserve"> provide all the relevant information needed to develop and carry out this type of exercise.</w:t>
      </w:r>
    </w:p>
    <w:p w14:paraId="53D5F37E" w14:textId="1CC9D282" w:rsidR="00C447A7" w:rsidRPr="00DE1BD4" w:rsidRDefault="00C447A7" w:rsidP="00C447A7">
      <w:bookmarkStart w:id="493" w:name="_2250f4o"/>
      <w:bookmarkStart w:id="494" w:name="_Toc90825921"/>
      <w:bookmarkStart w:id="495" w:name="_Toc90826033"/>
      <w:bookmarkStart w:id="496" w:name="_Toc91172689"/>
      <w:bookmarkStart w:id="497" w:name="_Toc91185576"/>
      <w:bookmarkEnd w:id="493"/>
      <w:r w:rsidRPr="00DE1BD4">
        <w:t>The WMO offers an online CAP basics course</w:t>
      </w:r>
      <w:r w:rsidRPr="0045782B">
        <w:rPr>
          <w:rStyle w:val="FootnoteReference"/>
        </w:rPr>
        <w:footnoteReference w:id="169"/>
      </w:r>
      <w:r w:rsidR="00B72F68">
        <w:t>.</w:t>
      </w:r>
    </w:p>
    <w:p w14:paraId="06AE3472" w14:textId="26DF6C39" w:rsidR="00E60534" w:rsidRPr="00DE1BD4" w:rsidRDefault="00E60534" w:rsidP="00E60534">
      <w:pPr>
        <w:rPr>
          <w:b/>
          <w:i/>
          <w:iCs/>
        </w:rPr>
      </w:pPr>
      <w:r w:rsidRPr="00DE1BD4">
        <w:rPr>
          <w:b/>
          <w:i/>
          <w:iCs/>
        </w:rPr>
        <w:t xml:space="preserve">Implementation Task </w:t>
      </w:r>
      <w:r w:rsidR="004C0391" w:rsidRPr="00DE1BD4">
        <w:rPr>
          <w:b/>
          <w:i/>
          <w:iCs/>
        </w:rPr>
        <w:t>9</w:t>
      </w:r>
      <w:r w:rsidRPr="00DE1BD4">
        <w:rPr>
          <w:b/>
          <w:i/>
          <w:iCs/>
        </w:rPr>
        <w:t>:</w:t>
      </w:r>
    </w:p>
    <w:p w14:paraId="641EB4AE" w14:textId="77777777" w:rsidR="00E60534" w:rsidRPr="00DE1BD4" w:rsidRDefault="00E60534" w:rsidP="00E60534">
      <w:pPr>
        <w:rPr>
          <w:i/>
          <w:iCs/>
        </w:rPr>
      </w:pPr>
      <w:r w:rsidRPr="00DE1BD4">
        <w:rPr>
          <w:i/>
          <w:iCs/>
        </w:rPr>
        <w:t xml:space="preserve">Training and drills should occur in all the areas identified throughout the planning process, including institutional capacity and management of telecom/ICT networks. Telecom/ICT training and drills for emergencies should be regularly carried out to improve emergency responders’ capacity with telecom/ICT equipment, as well as to enhance their ability to execute policies, plans and procedures governing the use of telecommunications networks. </w:t>
      </w:r>
    </w:p>
    <w:p w14:paraId="2E2AEE46" w14:textId="77777777" w:rsidR="00E60534" w:rsidRPr="00DE1BD4" w:rsidRDefault="00E60534" w:rsidP="00E60534">
      <w:pPr>
        <w:rPr>
          <w:i/>
          <w:iCs/>
        </w:rPr>
      </w:pPr>
      <w:r w:rsidRPr="00DE1BD4">
        <w:rPr>
          <w:i/>
          <w:iCs/>
        </w:rPr>
        <w:t>Table-top exercises (TTX), or discussions of a simulated emergency in a low-stress environment, should conducted, to test the NETP and other procedures for improvement.</w:t>
      </w:r>
    </w:p>
    <w:p w14:paraId="72C3957B" w14:textId="4003C939" w:rsidR="00D96D99" w:rsidRPr="00DE1BD4" w:rsidRDefault="00E60534" w:rsidP="002564EE">
      <w:pPr>
        <w:rPr>
          <w:i/>
          <w:iCs/>
        </w:rPr>
      </w:pPr>
      <w:r w:rsidRPr="00DE1BD4">
        <w:rPr>
          <w:i/>
          <w:iCs/>
        </w:rPr>
        <w:t>The telecom/ICT sector, as well as any other relevant actors involved in telecom/ICT management including enablers for ICT (such as power and transport agencies for example), should actively participate in these drills and exercises, and develop and carry out their own, to effectively implement the NETP. These sector-specific exercises and drills should be coordinated with those developed by other relevant stakeholders to avoid duplication of efforts. The ICT simulation exercise can be conducted at national (strategic level) and sub-national (tactical level).</w:t>
      </w:r>
    </w:p>
    <w:p w14:paraId="39383898" w14:textId="426BDEA5" w:rsidR="00E60534" w:rsidRPr="00DE1BD4" w:rsidRDefault="00E60534" w:rsidP="00D96D99">
      <w:pPr>
        <w:jc w:val="left"/>
      </w:pPr>
    </w:p>
    <w:p w14:paraId="3F4925DA" w14:textId="77777777" w:rsidR="00E60534" w:rsidRPr="00DE1BD4" w:rsidRDefault="00E60534">
      <w:pPr>
        <w:jc w:val="left"/>
      </w:pPr>
      <w:r w:rsidRPr="00DE1BD4">
        <w:br w:type="page"/>
      </w:r>
    </w:p>
    <w:p w14:paraId="279C5B78" w14:textId="3CE002E9" w:rsidR="00BF2580" w:rsidRPr="00DE1BD4" w:rsidRDefault="00B56641" w:rsidP="008D3098">
      <w:pPr>
        <w:pStyle w:val="Heading1"/>
      </w:pPr>
      <w:bookmarkStart w:id="498" w:name="_Toc181885833"/>
      <w:r w:rsidRPr="00DE1BD4">
        <w:t>Support for People with Specific Needs</w:t>
      </w:r>
      <w:bookmarkEnd w:id="494"/>
      <w:bookmarkEnd w:id="495"/>
      <w:bookmarkEnd w:id="496"/>
      <w:bookmarkEnd w:id="497"/>
      <w:bookmarkEnd w:id="498"/>
    </w:p>
    <w:p w14:paraId="11DE9B64" w14:textId="7F2F093C" w:rsidR="00E121E6" w:rsidRPr="00DE1BD4" w:rsidRDefault="00E121E6" w:rsidP="00E121E6">
      <w:pPr>
        <w:rPr>
          <w:i/>
        </w:rPr>
      </w:pPr>
      <w:r w:rsidRPr="00DE1BD4">
        <w:rPr>
          <w:i/>
        </w:rPr>
        <w:t>Authorities working together with network operators and telecom/ICT service providers, should develop mechanisms to understand the accessibility requirements needed to guarantee that vital digital communication technologies are inclusive and, therefore, are accessible to all persons.</w:t>
      </w:r>
    </w:p>
    <w:p w14:paraId="318C7D3D" w14:textId="77777777" w:rsidR="00D41930" w:rsidRPr="00B10993" w:rsidRDefault="00D41930" w:rsidP="00D41930">
      <w:pPr>
        <w:jc w:val="center"/>
        <w:rPr>
          <w:b/>
          <w:bCs/>
        </w:rPr>
      </w:pPr>
      <w:r w:rsidRPr="00B10993">
        <w:rPr>
          <w:b/>
          <w:bCs/>
          <w:highlight w:val="yellow"/>
        </w:rPr>
        <w:t>To be updated following stakeholder consultation</w:t>
      </w:r>
    </w:p>
    <w:p w14:paraId="59C442A3" w14:textId="6F07E2A6" w:rsidR="0088391B" w:rsidRPr="00DE1BD4" w:rsidRDefault="00E121E6" w:rsidP="003A5306">
      <w:r w:rsidRPr="00DE1BD4">
        <w:t>T</w:t>
      </w:r>
      <w:r w:rsidR="00AD76A8" w:rsidRPr="00DE1BD4">
        <w:t>elecom/ICT</w:t>
      </w:r>
      <w:r w:rsidR="00A25FA9" w:rsidRPr="00DE1BD4">
        <w:t>s can</w:t>
      </w:r>
      <w:r w:rsidR="001627C8" w:rsidRPr="00DE1BD4">
        <w:t xml:space="preserve"> also</w:t>
      </w:r>
      <w:r w:rsidR="00A25FA9" w:rsidRPr="00DE1BD4">
        <w:t xml:space="preserve"> be a key tool in disaster response and management operations to reach traditionally marginalized or especially vulnerable groups before, during and after a disaster.</w:t>
      </w:r>
    </w:p>
    <w:p w14:paraId="08196491" w14:textId="01F8859B" w:rsidR="0088391B" w:rsidRPr="00DE1BD4" w:rsidRDefault="0088391B" w:rsidP="0088391B">
      <w:r w:rsidRPr="00DE1BD4">
        <w:t>The development of multi-hazard early warning systems (MHEWS) must be inclusive of communities most at risk with adequate capacity to act on early warnings, and ensure better availability, quality, and sharing of data, financial resources, and effective governance and coordination arrangements to fully implement the call by the UN Secretary-General to ensure every person on Earth is protected by early warning systems (EWS) by 2027</w:t>
      </w:r>
      <w:r w:rsidR="00F462AE" w:rsidRPr="0045782B">
        <w:rPr>
          <w:rStyle w:val="FootnoteReference"/>
        </w:rPr>
        <w:footnoteReference w:id="170"/>
      </w:r>
      <w:r w:rsidR="00AA66E7" w:rsidRPr="00DE1BD4">
        <w:t>.</w:t>
      </w:r>
    </w:p>
    <w:p w14:paraId="621B0D69" w14:textId="389ED702" w:rsidR="003A5306" w:rsidRPr="00DE1BD4" w:rsidRDefault="00AD76A8" w:rsidP="003A5306">
      <w:r w:rsidRPr="00DE1BD4">
        <w:t>Telecom/ICT</w:t>
      </w:r>
      <w:r w:rsidR="00B56641" w:rsidRPr="00DE1BD4">
        <w:t>s</w:t>
      </w:r>
      <w:r w:rsidR="00A25FA9" w:rsidRPr="00DE1BD4">
        <w:t xml:space="preserve"> </w:t>
      </w:r>
      <w:r w:rsidR="00B56641" w:rsidRPr="00DE1BD4">
        <w:t>can</w:t>
      </w:r>
      <w:r w:rsidR="00A25FA9" w:rsidRPr="00DE1BD4">
        <w:t xml:space="preserve"> use multiple modes and channels, such as TV, radio, SMS-text messages, or the different Internet-based services and resources: video, instant messaging over the Internet, web conferencing, </w:t>
      </w:r>
      <w:r w:rsidR="0079375B" w:rsidRPr="00DE1BD4">
        <w:t xml:space="preserve">and </w:t>
      </w:r>
      <w:r w:rsidR="001627C8" w:rsidRPr="00DE1BD4">
        <w:t xml:space="preserve">social </w:t>
      </w:r>
      <w:r w:rsidR="0079375B" w:rsidRPr="00DE1BD4">
        <w:t>media</w:t>
      </w:r>
      <w:r w:rsidR="001627C8" w:rsidRPr="00DE1BD4">
        <w:t>, among others, that allow instant communication and sharing of photos and/or videos and satellite communications</w:t>
      </w:r>
      <w:r w:rsidR="001627C8" w:rsidRPr="0045782B">
        <w:rPr>
          <w:rStyle w:val="FootnoteReference"/>
        </w:rPr>
        <w:footnoteReference w:id="171"/>
      </w:r>
      <w:r w:rsidR="00AA66E7" w:rsidRPr="00DE1BD4">
        <w:t>.</w:t>
      </w:r>
    </w:p>
    <w:p w14:paraId="7A87B2AC" w14:textId="04D12B6C" w:rsidR="003A5306" w:rsidRPr="00DE1BD4" w:rsidRDefault="0079375B" w:rsidP="0075611C">
      <w:r w:rsidRPr="00DE1BD4">
        <w:t>Therefore</w:t>
      </w:r>
      <w:r w:rsidR="001627C8" w:rsidRPr="00DE1BD4">
        <w:t xml:space="preserve">, </w:t>
      </w:r>
      <w:r w:rsidR="005917DA" w:rsidRPr="00DE1BD4">
        <w:t>dissemination</w:t>
      </w:r>
      <w:r w:rsidR="00A25FA9" w:rsidRPr="00DE1BD4">
        <w:t xml:space="preserve"> of disaster preparedness and planning content</w:t>
      </w:r>
      <w:r w:rsidR="00B56641" w:rsidRPr="00DE1BD4">
        <w:t xml:space="preserve"> should be </w:t>
      </w:r>
      <w:r w:rsidRPr="00DE1BD4">
        <w:t xml:space="preserve">undertaken </w:t>
      </w:r>
      <w:r w:rsidR="00A25FA9" w:rsidRPr="00DE1BD4">
        <w:t>through different formats. For example, subtitles can be included in visual communications</w:t>
      </w:r>
      <w:r w:rsidR="001627C8" w:rsidRPr="00DE1BD4">
        <w:t xml:space="preserve"> so that persons with auditive difficulties could receive the message;</w:t>
      </w:r>
      <w:r w:rsidR="00A25FA9" w:rsidRPr="00DE1BD4">
        <w:t xml:space="preserve"> </w:t>
      </w:r>
      <w:r w:rsidR="001627C8" w:rsidRPr="00DE1BD4">
        <w:t xml:space="preserve">or </w:t>
      </w:r>
      <w:r w:rsidR="00A25FA9" w:rsidRPr="00DE1BD4">
        <w:t>visual and sound alerts</w:t>
      </w:r>
      <w:r w:rsidR="001627C8" w:rsidRPr="00DE1BD4">
        <w:t xml:space="preserve"> could be introduced</w:t>
      </w:r>
      <w:r w:rsidR="00A25FA9" w:rsidRPr="00DE1BD4">
        <w:t xml:space="preserve"> in public spaces </w:t>
      </w:r>
      <w:r w:rsidR="00AA66E7" w:rsidRPr="00DE1BD4">
        <w:t>to</w:t>
      </w:r>
      <w:r w:rsidR="001627C8" w:rsidRPr="00DE1BD4">
        <w:t xml:space="preserve"> consider other possible needs that people might have.</w:t>
      </w:r>
    </w:p>
    <w:p w14:paraId="0A1D750F" w14:textId="3D9592D3" w:rsidR="00DD4EA4" w:rsidRPr="00DE1BD4" w:rsidRDefault="00C51A51" w:rsidP="00026D11">
      <w:pPr>
        <w:jc w:val="left"/>
      </w:pPr>
      <w:r w:rsidRPr="00DE1BD4">
        <w:t>Different telecommunication means available, such as radio or television broadcasting, text messages and/or audio messages through mobile providers, social networks, and applications such as the Sahana Alerting and Messaging Broker</w:t>
      </w:r>
      <w:r w:rsidR="00CD6014" w:rsidRPr="00DE1BD4">
        <w:t xml:space="preserve">, </w:t>
      </w:r>
      <w:proofErr w:type="spellStart"/>
      <w:r w:rsidRPr="00DE1BD4">
        <w:t>SAMBro</w:t>
      </w:r>
      <w:proofErr w:type="spellEnd"/>
      <w:r w:rsidR="00CD6014" w:rsidRPr="00DE1BD4">
        <w:t>,</w:t>
      </w:r>
      <w:r w:rsidRPr="00DE1BD4">
        <w:t xml:space="preserve"> among others, should be used for this purpose. </w:t>
      </w:r>
    </w:p>
    <w:p w14:paraId="05642CF5" w14:textId="3626E109" w:rsidR="00E60534" w:rsidRPr="00DE1BD4" w:rsidRDefault="000C360F" w:rsidP="00E60534">
      <w:pPr>
        <w:rPr>
          <w:b/>
          <w:i/>
          <w:iCs/>
        </w:rPr>
      </w:pPr>
      <w:bookmarkStart w:id="499" w:name="_Hlk116846578"/>
      <w:r w:rsidRPr="00DE1BD4">
        <w:rPr>
          <w:b/>
          <w:i/>
          <w:iCs/>
        </w:rPr>
        <w:t>Implementation Task</w:t>
      </w:r>
      <w:r w:rsidR="00E60534" w:rsidRPr="00DE1BD4">
        <w:rPr>
          <w:b/>
          <w:i/>
          <w:iCs/>
        </w:rPr>
        <w:t xml:space="preserve"> </w:t>
      </w:r>
      <w:r w:rsidR="004C0391" w:rsidRPr="00DE1BD4">
        <w:rPr>
          <w:b/>
          <w:i/>
          <w:iCs/>
        </w:rPr>
        <w:t>10</w:t>
      </w:r>
    </w:p>
    <w:p w14:paraId="6F1D6581" w14:textId="51A09802" w:rsidR="00E60534" w:rsidRPr="00DE1BD4" w:rsidRDefault="00AB1F10" w:rsidP="00E60534">
      <w:pPr>
        <w:pStyle w:val="paragraph"/>
        <w:spacing w:before="0" w:beforeAutospacing="0" w:after="0" w:afterAutospacing="0"/>
        <w:jc w:val="both"/>
        <w:textAlignment w:val="baseline"/>
        <w:rPr>
          <w:rFonts w:ascii="Segoe UI" w:hAnsi="Segoe UI" w:cs="Segoe UI"/>
          <w:i/>
          <w:iCs/>
          <w:sz w:val="18"/>
          <w:szCs w:val="18"/>
        </w:rPr>
      </w:pPr>
      <w:r w:rsidRPr="00DE1BD4">
        <w:rPr>
          <w:rStyle w:val="normaltextrun"/>
          <w:rFonts w:ascii="Calibri" w:hAnsi="Calibri" w:cs="Calibri"/>
          <w:i/>
          <w:iCs/>
          <w:sz w:val="22"/>
          <w:szCs w:val="22"/>
        </w:rPr>
        <w:t>T</w:t>
      </w:r>
      <w:r w:rsidR="00652C17">
        <w:rPr>
          <w:rStyle w:val="normaltextrun"/>
          <w:rFonts w:ascii="Calibri" w:hAnsi="Calibri" w:cs="Calibri"/>
          <w:i/>
          <w:iCs/>
          <w:sz w:val="22"/>
          <w:szCs w:val="22"/>
        </w:rPr>
        <w:t>he Gambia</w:t>
      </w:r>
      <w:r w:rsidR="00E60534" w:rsidRPr="00DE1BD4">
        <w:rPr>
          <w:rStyle w:val="normaltextrun"/>
          <w:rFonts w:ascii="Calibri" w:hAnsi="Calibri" w:cs="Calibri"/>
          <w:i/>
          <w:iCs/>
          <w:sz w:val="22"/>
          <w:szCs w:val="22"/>
        </w:rPr>
        <w:t>’s authorities, working together with network operators and telecom/ICT service providers, should develop mechanisms to guarantee that vital telecommunication technologies are inclusive and therefore accessible to all persons, including people with disabilities, the elderly, women and girls, as well as refugees and immigrants. This should be linked to the early warning systems.</w:t>
      </w:r>
    </w:p>
    <w:p w14:paraId="55CBF009" w14:textId="77777777" w:rsidR="00E60534" w:rsidRPr="00DE1BD4" w:rsidRDefault="00E60534" w:rsidP="00E60534">
      <w:pPr>
        <w:pStyle w:val="paragraph"/>
        <w:spacing w:before="0" w:beforeAutospacing="0" w:after="0" w:afterAutospacing="0"/>
        <w:jc w:val="both"/>
        <w:textAlignment w:val="baseline"/>
        <w:rPr>
          <w:rStyle w:val="normaltextrun"/>
          <w:rFonts w:ascii="Calibri" w:hAnsi="Calibri" w:cs="Calibri"/>
          <w:i/>
          <w:iCs/>
          <w:sz w:val="22"/>
          <w:szCs w:val="22"/>
        </w:rPr>
      </w:pPr>
    </w:p>
    <w:p w14:paraId="0BC471F3" w14:textId="77777777" w:rsidR="00E60534" w:rsidRPr="00DE1BD4" w:rsidRDefault="00E60534" w:rsidP="00E60534">
      <w:pPr>
        <w:pStyle w:val="paragraph"/>
        <w:spacing w:before="0" w:beforeAutospacing="0" w:after="0" w:afterAutospacing="0"/>
        <w:jc w:val="both"/>
        <w:textAlignment w:val="baseline"/>
        <w:rPr>
          <w:rStyle w:val="eop"/>
          <w:rFonts w:ascii="Calibri" w:hAnsi="Calibri" w:cs="Calibri"/>
          <w:i/>
          <w:iCs/>
          <w:sz w:val="22"/>
          <w:szCs w:val="22"/>
        </w:rPr>
      </w:pPr>
      <w:r w:rsidRPr="00DE1BD4">
        <w:rPr>
          <w:rStyle w:val="normaltextrun"/>
          <w:rFonts w:ascii="Calibri" w:hAnsi="Calibri" w:cs="Calibri"/>
          <w:i/>
          <w:iCs/>
          <w:sz w:val="22"/>
          <w:szCs w:val="22"/>
        </w:rPr>
        <w:t>Where possible, working in collaboration with network providers, these messages should be via geo-location capabilities to those at risk.</w:t>
      </w:r>
    </w:p>
    <w:p w14:paraId="0A54213E" w14:textId="77777777" w:rsidR="00E60534" w:rsidRPr="00DE1BD4" w:rsidRDefault="00E60534" w:rsidP="00E60534">
      <w:pPr>
        <w:pStyle w:val="paragraph"/>
        <w:spacing w:before="0" w:beforeAutospacing="0" w:after="0" w:afterAutospacing="0"/>
        <w:jc w:val="both"/>
        <w:textAlignment w:val="baseline"/>
        <w:rPr>
          <w:rFonts w:ascii="Segoe UI" w:hAnsi="Segoe UI" w:cs="Segoe UI"/>
          <w:i/>
          <w:iCs/>
          <w:sz w:val="18"/>
          <w:szCs w:val="18"/>
        </w:rPr>
      </w:pPr>
    </w:p>
    <w:p w14:paraId="588BF035" w14:textId="5E2C0E6A" w:rsidR="00E60534" w:rsidRPr="00DE1BD4" w:rsidRDefault="00E60534" w:rsidP="00E60534">
      <w:pPr>
        <w:pStyle w:val="paragraph"/>
        <w:spacing w:before="0" w:beforeAutospacing="0" w:after="0" w:afterAutospacing="0"/>
        <w:jc w:val="both"/>
        <w:textAlignment w:val="baseline"/>
        <w:rPr>
          <w:rStyle w:val="normaltextrun"/>
          <w:rFonts w:ascii="Calibri" w:hAnsi="Calibri" w:cs="Calibri"/>
          <w:i/>
          <w:iCs/>
          <w:sz w:val="22"/>
          <w:szCs w:val="22"/>
        </w:rPr>
      </w:pPr>
      <w:r w:rsidRPr="00DE1BD4">
        <w:rPr>
          <w:rStyle w:val="normaltextrun"/>
          <w:rFonts w:ascii="Calibri" w:hAnsi="Calibri" w:cs="Calibri"/>
          <w:i/>
          <w:iCs/>
          <w:sz w:val="22"/>
          <w:szCs w:val="22"/>
        </w:rPr>
        <w:t>All warning messages should be issued in the most appropriate languages and sign language and/or captions and infographics should be used where appropriate for the medium.</w:t>
      </w:r>
    </w:p>
    <w:p w14:paraId="04710A87" w14:textId="77777777" w:rsidR="00FB595B" w:rsidRPr="00DE1BD4" w:rsidRDefault="00FB595B" w:rsidP="00FB595B"/>
    <w:p w14:paraId="677C910B" w14:textId="32F99534" w:rsidR="004C0391" w:rsidRPr="00DE1BD4" w:rsidRDefault="004C0391" w:rsidP="00B26261">
      <w:r w:rsidRPr="00DE1BD4">
        <w:t> </w:t>
      </w:r>
      <w:r w:rsidRPr="00DE1BD4">
        <w:br w:type="page"/>
      </w:r>
    </w:p>
    <w:p w14:paraId="4A3FF72D" w14:textId="43CD6BBF" w:rsidR="004C0391" w:rsidRPr="00DE1BD4" w:rsidRDefault="004C0391" w:rsidP="004C0391">
      <w:pPr>
        <w:pStyle w:val="Heading1"/>
      </w:pPr>
      <w:bookmarkStart w:id="500" w:name="_Toc181885834"/>
      <w:r w:rsidRPr="00DE1BD4">
        <w:t>Contingency Plans</w:t>
      </w:r>
      <w:bookmarkEnd w:id="500"/>
      <w:r w:rsidRPr="00DE1BD4">
        <w:t xml:space="preserve"> </w:t>
      </w:r>
    </w:p>
    <w:p w14:paraId="2B2D6964" w14:textId="4A21CD4C" w:rsidR="004C0391" w:rsidRPr="00DE1BD4" w:rsidRDefault="004C0391" w:rsidP="004C0391">
      <w:pPr>
        <w:rPr>
          <w:i/>
          <w:iCs/>
        </w:rPr>
      </w:pPr>
      <w:r w:rsidRPr="00DE1BD4">
        <w:rPr>
          <w:i/>
          <w:iCs/>
        </w:rPr>
        <w:t xml:space="preserve">Public and private satellite and terrestrial networks, including mobile, fixed, and broadcasting operators must each keep their contingency and business continuity plans for emergencies updated. </w:t>
      </w:r>
    </w:p>
    <w:p w14:paraId="5A0C1B06" w14:textId="77777777" w:rsidR="00866DED" w:rsidRPr="00327736" w:rsidRDefault="00866DED" w:rsidP="00866DED">
      <w:pPr>
        <w:jc w:val="center"/>
        <w:rPr>
          <w:b/>
          <w:bCs/>
        </w:rPr>
      </w:pPr>
      <w:r w:rsidRPr="00327736">
        <w:rPr>
          <w:b/>
          <w:bCs/>
          <w:highlight w:val="yellow"/>
        </w:rPr>
        <w:t>To be updated following stakeholder consultation</w:t>
      </w:r>
    </w:p>
    <w:p w14:paraId="0830F3E7" w14:textId="118C734E" w:rsidR="004C0391" w:rsidRPr="00DE1BD4" w:rsidRDefault="004C0391" w:rsidP="004C0391">
      <w:r w:rsidRPr="00DE1BD4">
        <w:t xml:space="preserve">A contingency plan for telecom/ICT must include specific procedures depending on the unique characteristics of that location, such as the level of connectivity of the site, the facilities or deployable equipment available in the area, and redundancy, among other elements. </w:t>
      </w:r>
    </w:p>
    <w:p w14:paraId="59099ED6" w14:textId="77777777" w:rsidR="004C0391" w:rsidRPr="00DE1BD4" w:rsidRDefault="004C0391" w:rsidP="004C0391">
      <w:r w:rsidRPr="00DE1BD4">
        <w:t xml:space="preserve">This contingency planning, in addition, should include solutions that can be carried out by the agents responsible for disaster risk management to maintain the operation of the service in the affected area. This will be helpful in making advance decisions on resource management, and in developing procedures for the expected use of the full range of available technical and logistical responses, especially with respect to telecommunications. </w:t>
      </w:r>
    </w:p>
    <w:p w14:paraId="611F613D" w14:textId="382B3E5A" w:rsidR="004C0391" w:rsidRPr="00DE1BD4" w:rsidRDefault="004C0391" w:rsidP="004C0391">
      <w:r w:rsidRPr="00DE1BD4">
        <w:t xml:space="preserve">Telecommunications operators in </w:t>
      </w:r>
      <w:r w:rsidR="004F407B">
        <w:t>The Gambia</w:t>
      </w:r>
      <w:r w:rsidRPr="00DE1BD4">
        <w:t xml:space="preserve"> should have updated contingency plans for responding in case of emergencies and disasters. These contingency plans focus on key aspects, such as critical infrastructure and always maintaining the continuity of the service. A mechanism needs to be in place to ensure that operators regularly provide these contingency plans to </w:t>
      </w:r>
      <w:r w:rsidR="004F407B">
        <w:t>PURA</w:t>
      </w:r>
      <w:r w:rsidRPr="00DE1BD4">
        <w:t xml:space="preserve"> for review.</w:t>
      </w:r>
    </w:p>
    <w:p w14:paraId="054E0F04" w14:textId="6006C3BE" w:rsidR="004C0391" w:rsidRPr="00DE1BD4" w:rsidRDefault="004C0391" w:rsidP="004C0391">
      <w:pPr>
        <w:rPr>
          <w:b/>
          <w:bCs/>
        </w:rPr>
      </w:pPr>
      <w:r w:rsidRPr="00DE1BD4">
        <w:rPr>
          <w:b/>
          <w:bCs/>
        </w:rPr>
        <w:t>Implementation Task 11:</w:t>
      </w:r>
    </w:p>
    <w:p w14:paraId="1EA2B5E4" w14:textId="02F25A0B" w:rsidR="004C0391" w:rsidRPr="00DE1BD4" w:rsidRDefault="004C0391" w:rsidP="004C0391">
      <w:pPr>
        <w:rPr>
          <w:i/>
          <w:iCs/>
        </w:rPr>
      </w:pPr>
      <w:r w:rsidRPr="00DE1BD4">
        <w:rPr>
          <w:i/>
          <w:iCs/>
        </w:rPr>
        <w:t>Telecom/ICT network and service providers must develop contingency plans for emergencies in line with an</w:t>
      </w:r>
      <w:r w:rsidR="00CD6AE1">
        <w:rPr>
          <w:i/>
          <w:iCs/>
        </w:rPr>
        <w:t>y</w:t>
      </w:r>
      <w:r w:rsidRPr="00DE1BD4">
        <w:rPr>
          <w:i/>
          <w:iCs/>
        </w:rPr>
        <w:t xml:space="preserve"> updated </w:t>
      </w:r>
      <w:r w:rsidR="00EE379B" w:rsidRPr="00EE379B">
        <w:rPr>
          <w:i/>
          <w:iCs/>
        </w:rPr>
        <w:t>n</w:t>
      </w:r>
      <w:r w:rsidRPr="00EE379B">
        <w:rPr>
          <w:i/>
          <w:iCs/>
        </w:rPr>
        <w:t xml:space="preserve">ational </w:t>
      </w:r>
      <w:r w:rsidR="00EE379B" w:rsidRPr="00EE379B">
        <w:rPr>
          <w:i/>
          <w:iCs/>
        </w:rPr>
        <w:t>p</w:t>
      </w:r>
      <w:r w:rsidRPr="00EE379B">
        <w:rPr>
          <w:i/>
          <w:iCs/>
        </w:rPr>
        <w:t>lan</w:t>
      </w:r>
      <w:r w:rsidR="00EE379B" w:rsidRPr="00EE379B">
        <w:rPr>
          <w:i/>
          <w:iCs/>
        </w:rPr>
        <w:t>s</w:t>
      </w:r>
      <w:r w:rsidRPr="00EE379B">
        <w:rPr>
          <w:i/>
          <w:iCs/>
        </w:rPr>
        <w:t>,</w:t>
      </w:r>
      <w:r w:rsidRPr="00DE1BD4">
        <w:rPr>
          <w:i/>
          <w:iCs/>
        </w:rPr>
        <w:t xml:space="preserve"> and in conjunction with the authorities responsible for telecom/ICTs and for disaster risk management. Measures such as network redundancy, secondary energy sources, and developing solutions for international cable cuts, among others, must be considered and included in the network design, especially in those areas at risk according to the hazard maps, and considering the network vulnerability analysis.</w:t>
      </w:r>
    </w:p>
    <w:p w14:paraId="615103AA" w14:textId="6328B076" w:rsidR="004C0391" w:rsidRPr="00DE1BD4" w:rsidRDefault="004C0391" w:rsidP="004C0391">
      <w:r w:rsidRPr="00DE1BD4">
        <w:t> </w:t>
      </w:r>
    </w:p>
    <w:p w14:paraId="641A9DD9" w14:textId="3AAB51EF" w:rsidR="004C0391" w:rsidRPr="00DE1BD4" w:rsidRDefault="004C0391">
      <w:pPr>
        <w:jc w:val="left"/>
      </w:pPr>
      <w:r w:rsidRPr="00DE1BD4">
        <w:br w:type="page"/>
      </w:r>
    </w:p>
    <w:p w14:paraId="423E4772" w14:textId="77777777" w:rsidR="0086547B" w:rsidRPr="00DE1BD4" w:rsidRDefault="0086547B" w:rsidP="0086547B">
      <w:pPr>
        <w:pStyle w:val="Heading1"/>
      </w:pPr>
      <w:bookmarkStart w:id="501" w:name="_Toc90825914"/>
      <w:bookmarkStart w:id="502" w:name="_Toc90826028"/>
      <w:bookmarkStart w:id="503" w:name="_Toc91172683"/>
      <w:bookmarkStart w:id="504" w:name="_Toc91185570"/>
      <w:bookmarkStart w:id="505" w:name="_Toc181885835"/>
      <w:r w:rsidRPr="00DE1BD4">
        <w:t>Standard Operating Procedures (SOP)</w:t>
      </w:r>
      <w:bookmarkEnd w:id="501"/>
      <w:bookmarkEnd w:id="502"/>
      <w:bookmarkEnd w:id="503"/>
      <w:bookmarkEnd w:id="504"/>
      <w:bookmarkEnd w:id="505"/>
      <w:r w:rsidRPr="00DE1BD4">
        <w:t xml:space="preserve"> </w:t>
      </w:r>
    </w:p>
    <w:p w14:paraId="2A2A1345" w14:textId="53346F30" w:rsidR="0086547B" w:rsidRDefault="0086547B" w:rsidP="00D345B9">
      <w:pPr>
        <w:spacing w:after="0"/>
        <w:rPr>
          <w:i/>
          <w:iCs/>
        </w:rPr>
      </w:pPr>
      <w:r w:rsidRPr="00DE1BD4">
        <w:rPr>
          <w:i/>
          <w:iCs/>
        </w:rPr>
        <w:t>Develop, update and strengthen SOPs for emergency and disaster response related to communications within and among agencies and technical means for communication (voice/data), including interoperability.</w:t>
      </w:r>
    </w:p>
    <w:p w14:paraId="7DDFE621" w14:textId="77777777" w:rsidR="00866DED" w:rsidRPr="00DE1BD4" w:rsidRDefault="00866DED" w:rsidP="00D345B9">
      <w:pPr>
        <w:spacing w:after="0"/>
        <w:rPr>
          <w:i/>
          <w:iCs/>
        </w:rPr>
      </w:pPr>
    </w:p>
    <w:p w14:paraId="7417A72F" w14:textId="77777777" w:rsidR="00866DED" w:rsidRPr="00327736" w:rsidRDefault="00866DED" w:rsidP="00866DED">
      <w:pPr>
        <w:jc w:val="center"/>
        <w:rPr>
          <w:b/>
          <w:bCs/>
        </w:rPr>
      </w:pPr>
      <w:r w:rsidRPr="00327736">
        <w:rPr>
          <w:b/>
          <w:bCs/>
          <w:highlight w:val="yellow"/>
        </w:rPr>
        <w:t>To be updated following stakeholder consultation</w:t>
      </w:r>
    </w:p>
    <w:p w14:paraId="36A1AC72" w14:textId="55FC7FAF" w:rsidR="0086547B" w:rsidRPr="00DE1BD4" w:rsidRDefault="0086547B" w:rsidP="00AB1F10">
      <w:pPr>
        <w:spacing w:before="240"/>
        <w:rPr>
          <w:rFonts w:asciiTheme="minorHAnsi" w:eastAsiaTheme="minorHAnsi" w:hAnsiTheme="minorHAnsi" w:cstheme="minorBidi"/>
          <w:lang w:eastAsia="en-US"/>
        </w:rPr>
      </w:pPr>
      <w:r w:rsidRPr="00DE1BD4">
        <w:t>Standard Operating Procedures (SOPs) are defined as formal written guidelines or instructions for incident response. They generally have both operational and technical components and allow emergency response personnel to act in a coordinated manner across all disciplines in the event of an emergency</w:t>
      </w:r>
      <w:r w:rsidRPr="0045782B">
        <w:rPr>
          <w:rStyle w:val="FootnoteReference"/>
        </w:rPr>
        <w:footnoteReference w:id="172"/>
      </w:r>
      <w:r w:rsidRPr="00DE1BD4">
        <w:t xml:space="preserve">. These detailed instructions or procedures promote a uniform and standardized response during emergency response operations. These SOPs should be aligned with the legislative and regulatory frameworks as well as with the specific policies and plans related to DRM. </w:t>
      </w:r>
    </w:p>
    <w:p w14:paraId="256E4E34" w14:textId="18CB74CD" w:rsidR="000C0EE1" w:rsidRDefault="00487B2C" w:rsidP="007A6DCA">
      <w:r>
        <w:t>T</w:t>
      </w:r>
      <w:r w:rsidR="00F40396">
        <w:t xml:space="preserve">he Gambia does not have </w:t>
      </w:r>
      <w:r w:rsidR="0086547B" w:rsidRPr="00DE1BD4">
        <w:t xml:space="preserve">in place a set of Standard Operating Procedures (SOP’s) </w:t>
      </w:r>
      <w:r w:rsidR="006B07F6">
        <w:t>relat</w:t>
      </w:r>
      <w:r w:rsidR="007A6DCA">
        <w:t>ing</w:t>
      </w:r>
      <w:r w:rsidR="006B07F6">
        <w:t xml:space="preserve"> to </w:t>
      </w:r>
      <w:r w:rsidR="007A6DCA">
        <w:t>DRM activities</w:t>
      </w:r>
    </w:p>
    <w:p w14:paraId="02C2A514" w14:textId="77777777" w:rsidR="0086547B" w:rsidRPr="00DE1BD4" w:rsidRDefault="0086547B" w:rsidP="0086547B">
      <w:r w:rsidRPr="00DE1BD4">
        <w:t>A SOP standardises the use of emergency telecommunications terminology and enables deployment of backup solutions and/or redundant infrastructure and services.</w:t>
      </w:r>
    </w:p>
    <w:p w14:paraId="0043AD90" w14:textId="77777777" w:rsidR="0086547B" w:rsidRPr="00DE1BD4" w:rsidRDefault="0086547B" w:rsidP="0086547B">
      <w:r w:rsidRPr="00DE1BD4">
        <w:t>Further all Government agencies and telecommunications service providers should be obliged to create and maintain Standard Operating Procedures which include a plan for continuation of telecommunications of the organisation in an emergency or disaster event.</w:t>
      </w:r>
    </w:p>
    <w:p w14:paraId="3F6610C2" w14:textId="77777777" w:rsidR="0086547B" w:rsidRPr="00DE1BD4" w:rsidRDefault="0086547B" w:rsidP="0086547B">
      <w:pPr>
        <w:rPr>
          <w:vertAlign w:val="superscript"/>
        </w:rPr>
      </w:pPr>
      <w:r w:rsidRPr="00DE1BD4">
        <w:t>SAFECOM, the emergency communications advisory group of the United States Department of Homeland Security, defines SOPS as “formal written guidelines or instructions for incident response, which generally have both operational and technical components, and allow emergency response personnel to act in a coordinated manner across all disciplines in the event of an emergency”</w:t>
      </w:r>
      <w:r w:rsidRPr="0045782B">
        <w:rPr>
          <w:rStyle w:val="FootnoteReference"/>
        </w:rPr>
        <w:footnoteReference w:id="173"/>
      </w:r>
      <w:r w:rsidRPr="00DE1BD4">
        <w:t>.</w:t>
      </w:r>
    </w:p>
    <w:p w14:paraId="499DA9BA" w14:textId="77777777" w:rsidR="0086547B" w:rsidRPr="00DE1BD4" w:rsidRDefault="0086547B" w:rsidP="0086547B">
      <w:r w:rsidRPr="00DE1BD4">
        <w:t>SAFECOM has developed a guide to help communities write clear and effective SOPs, which are critical for preparing and responding to an emergency</w:t>
      </w:r>
      <w:r w:rsidRPr="0045782B">
        <w:rPr>
          <w:rStyle w:val="FootnoteReference"/>
        </w:rPr>
        <w:footnoteReference w:id="174"/>
      </w:r>
      <w:r w:rsidRPr="00DE1BD4">
        <w:t>.</w:t>
      </w:r>
    </w:p>
    <w:p w14:paraId="40852A8C" w14:textId="6A49FF2B" w:rsidR="0086547B" w:rsidRPr="00DE1BD4" w:rsidRDefault="0086547B" w:rsidP="0086547B">
      <w:pPr>
        <w:rPr>
          <w:b/>
          <w:i/>
          <w:iCs/>
        </w:rPr>
      </w:pPr>
      <w:bookmarkStart w:id="506" w:name="_Hlk116846470"/>
      <w:r w:rsidRPr="00DE1BD4">
        <w:rPr>
          <w:b/>
          <w:i/>
          <w:iCs/>
        </w:rPr>
        <w:t>Implementation Task 1</w:t>
      </w:r>
      <w:r w:rsidR="009C78A8" w:rsidRPr="00DE1BD4">
        <w:rPr>
          <w:b/>
          <w:i/>
          <w:iCs/>
        </w:rPr>
        <w:t>2</w:t>
      </w:r>
      <w:r w:rsidRPr="00DE1BD4">
        <w:rPr>
          <w:b/>
          <w:i/>
          <w:iCs/>
        </w:rPr>
        <w:t>:</w:t>
      </w:r>
    </w:p>
    <w:p w14:paraId="4FBE1EDD" w14:textId="13AF8EB4" w:rsidR="0086547B" w:rsidRPr="00DE1BD4" w:rsidRDefault="009559B1" w:rsidP="0086547B">
      <w:pPr>
        <w:rPr>
          <w:i/>
          <w:iCs/>
        </w:rPr>
      </w:pPr>
      <w:r>
        <w:rPr>
          <w:i/>
          <w:iCs/>
        </w:rPr>
        <w:t>NDMA/PURA</w:t>
      </w:r>
      <w:r w:rsidR="00247C03" w:rsidRPr="00286626">
        <w:rPr>
          <w:i/>
          <w:iCs/>
        </w:rPr>
        <w:t>/</w:t>
      </w:r>
      <w:r w:rsidR="00963CF3">
        <w:rPr>
          <w:i/>
          <w:iCs/>
        </w:rPr>
        <w:t>MoCDE</w:t>
      </w:r>
      <w:r w:rsidR="00776DDA" w:rsidRPr="00DE1BD4">
        <w:rPr>
          <w:i/>
          <w:iCs/>
        </w:rPr>
        <w:t xml:space="preserve"> in conjunction with the </w:t>
      </w:r>
      <w:r w:rsidR="00247C03" w:rsidRPr="00DE1BD4">
        <w:rPr>
          <w:i/>
          <w:iCs/>
        </w:rPr>
        <w:t xml:space="preserve">participants in the </w:t>
      </w:r>
      <w:r w:rsidR="00A515ED" w:rsidRPr="00DE1BD4">
        <w:rPr>
          <w:i/>
          <w:iCs/>
        </w:rPr>
        <w:t>Telecommunications</w:t>
      </w:r>
      <w:r w:rsidR="00247C03" w:rsidRPr="00DE1BD4">
        <w:rPr>
          <w:i/>
          <w:iCs/>
        </w:rPr>
        <w:t xml:space="preserve"> Emergency Cluster should</w:t>
      </w:r>
      <w:r w:rsidR="0086547B" w:rsidRPr="00DE1BD4">
        <w:rPr>
          <w:i/>
          <w:iCs/>
        </w:rPr>
        <w:t>:</w:t>
      </w:r>
    </w:p>
    <w:p w14:paraId="2CDB2219" w14:textId="00A4BE86" w:rsidR="00A515ED" w:rsidRPr="00DE1BD4" w:rsidRDefault="009559B1" w:rsidP="00963CF3">
      <w:pPr>
        <w:pStyle w:val="ListParagraph"/>
        <w:numPr>
          <w:ilvl w:val="0"/>
          <w:numId w:val="49"/>
        </w:numPr>
        <w:spacing w:after="0" w:line="240" w:lineRule="auto"/>
        <w:rPr>
          <w:rFonts w:asciiTheme="minorHAnsi" w:eastAsiaTheme="minorHAnsi" w:hAnsiTheme="minorHAnsi" w:cstheme="minorBidi"/>
          <w:i/>
          <w:iCs/>
          <w:lang w:eastAsia="en-US"/>
        </w:rPr>
      </w:pPr>
      <w:r>
        <w:rPr>
          <w:i/>
          <w:iCs/>
        </w:rPr>
        <w:t>D</w:t>
      </w:r>
      <w:r w:rsidR="00A515ED" w:rsidRPr="00DE1BD4">
        <w:rPr>
          <w:i/>
          <w:iCs/>
        </w:rPr>
        <w:t xml:space="preserve">evelop </w:t>
      </w:r>
      <w:r w:rsidR="00B33D9F">
        <w:rPr>
          <w:i/>
          <w:iCs/>
        </w:rPr>
        <w:t xml:space="preserve">a set of </w:t>
      </w:r>
      <w:r w:rsidR="00A515ED" w:rsidRPr="00DE1BD4">
        <w:rPr>
          <w:i/>
          <w:iCs/>
        </w:rPr>
        <w:t xml:space="preserve">Standard Operating Procedures for emergency and disaster response related to communications within and between agencies and network operators including the technical means for communication (voice/data), and interoperability. </w:t>
      </w:r>
      <w:r w:rsidR="009C78A8" w:rsidRPr="00DE1BD4">
        <w:rPr>
          <w:i/>
          <w:iCs/>
        </w:rPr>
        <w:t>This should include an exhaustive list of all actions that may be required for disaster response.</w:t>
      </w:r>
    </w:p>
    <w:p w14:paraId="6DB7DC24" w14:textId="77777777" w:rsidR="00A515ED" w:rsidRPr="00DE1BD4" w:rsidRDefault="00A515ED" w:rsidP="00963CF3">
      <w:pPr>
        <w:pStyle w:val="ListParagraph"/>
        <w:numPr>
          <w:ilvl w:val="0"/>
          <w:numId w:val="49"/>
        </w:numPr>
        <w:spacing w:after="0" w:line="240" w:lineRule="auto"/>
        <w:rPr>
          <w:i/>
          <w:iCs/>
        </w:rPr>
      </w:pPr>
      <w:r w:rsidRPr="00DE1BD4">
        <w:rPr>
          <w:i/>
          <w:iCs/>
        </w:rPr>
        <w:t>Define the government entities and the contact points (key decision makers) within these entities that must maintain communication during a disaster or emergency.</w:t>
      </w:r>
    </w:p>
    <w:p w14:paraId="418540B9" w14:textId="77777777" w:rsidR="00A515ED" w:rsidRPr="00DE1BD4" w:rsidRDefault="00A515ED" w:rsidP="00963CF3">
      <w:pPr>
        <w:pStyle w:val="ListParagraph"/>
        <w:numPr>
          <w:ilvl w:val="0"/>
          <w:numId w:val="49"/>
        </w:numPr>
        <w:spacing w:after="0" w:line="240" w:lineRule="auto"/>
        <w:rPr>
          <w:i/>
          <w:iCs/>
        </w:rPr>
      </w:pPr>
      <w:r w:rsidRPr="00DE1BD4">
        <w:rPr>
          <w:i/>
          <w:iCs/>
        </w:rPr>
        <w:t>Maintain an updated database with these focal points of every agency, and where appropriate any associated partner organisations, countries, or other external entities, involved in disaster management.</w:t>
      </w:r>
    </w:p>
    <w:p w14:paraId="3010C58F" w14:textId="77777777" w:rsidR="00A515ED" w:rsidRPr="00DE1BD4" w:rsidRDefault="00A515ED" w:rsidP="00963CF3">
      <w:pPr>
        <w:pStyle w:val="ListParagraph"/>
        <w:numPr>
          <w:ilvl w:val="0"/>
          <w:numId w:val="49"/>
        </w:numPr>
        <w:spacing w:after="0" w:line="240" w:lineRule="auto"/>
        <w:rPr>
          <w:i/>
          <w:iCs/>
        </w:rPr>
      </w:pPr>
      <w:r w:rsidRPr="00DE1BD4">
        <w:rPr>
          <w:i/>
          <w:iCs/>
        </w:rPr>
        <w:t>Analyse the possible interoperability between the equipment (wireless) and the communication networks of the government entities.</w:t>
      </w:r>
    </w:p>
    <w:p w14:paraId="0E77DC50" w14:textId="7FF17E61" w:rsidR="00A515ED" w:rsidRPr="00DE1BD4" w:rsidRDefault="00A515ED" w:rsidP="00963CF3">
      <w:pPr>
        <w:pStyle w:val="ListParagraph"/>
        <w:numPr>
          <w:ilvl w:val="0"/>
          <w:numId w:val="49"/>
        </w:numPr>
        <w:spacing w:after="0" w:line="240" w:lineRule="auto"/>
        <w:rPr>
          <w:i/>
          <w:iCs/>
        </w:rPr>
      </w:pPr>
      <w:r w:rsidRPr="00DE1BD4">
        <w:rPr>
          <w:i/>
          <w:iCs/>
        </w:rPr>
        <w:t xml:space="preserve">Establish a set of radio frequencies that can be used for the communications of the contact points (key decision makers) compatible with the radiocommunication equipment being used and ensure it is aligned </w:t>
      </w:r>
      <w:r w:rsidR="00032A75" w:rsidRPr="00DE1BD4">
        <w:rPr>
          <w:i/>
          <w:iCs/>
        </w:rPr>
        <w:t>for</w:t>
      </w:r>
      <w:r w:rsidRPr="00DE1BD4">
        <w:rPr>
          <w:i/>
          <w:iCs/>
        </w:rPr>
        <w:t xml:space="preserve"> regional compatibility.</w:t>
      </w:r>
    </w:p>
    <w:p w14:paraId="274BA8FA" w14:textId="77777777" w:rsidR="00A515ED" w:rsidRPr="00DE1BD4" w:rsidRDefault="00A515ED" w:rsidP="00963CF3">
      <w:pPr>
        <w:pStyle w:val="ListParagraph"/>
        <w:numPr>
          <w:ilvl w:val="0"/>
          <w:numId w:val="49"/>
        </w:numPr>
        <w:spacing w:after="0" w:line="240" w:lineRule="auto"/>
        <w:rPr>
          <w:i/>
          <w:iCs/>
        </w:rPr>
      </w:pPr>
      <w:r w:rsidRPr="00DE1BD4">
        <w:rPr>
          <w:i/>
          <w:iCs/>
        </w:rPr>
        <w:t>Establish alternative methods of communications, if necessary, for example through existing communication operators.</w:t>
      </w:r>
    </w:p>
    <w:p w14:paraId="1C9E5657" w14:textId="77777777" w:rsidR="00A515ED" w:rsidRPr="00DE1BD4" w:rsidRDefault="00A515ED" w:rsidP="00963CF3">
      <w:pPr>
        <w:pStyle w:val="ListParagraph"/>
        <w:numPr>
          <w:ilvl w:val="0"/>
          <w:numId w:val="49"/>
        </w:numPr>
        <w:spacing w:after="0" w:line="240" w:lineRule="auto"/>
        <w:rPr>
          <w:i/>
          <w:iCs/>
        </w:rPr>
      </w:pPr>
      <w:r w:rsidRPr="00DE1BD4">
        <w:rPr>
          <w:i/>
          <w:iCs/>
        </w:rPr>
        <w:t xml:space="preserve">Develop connectivity plans for the satellite equipment available, if that is the case, to be used during a response phase as well as procedures for their use as primary or alternative communications between relevant stakeholders involved in disaster response. </w:t>
      </w:r>
    </w:p>
    <w:p w14:paraId="3F10F1B1" w14:textId="77777777" w:rsidR="00FE48AD" w:rsidRPr="00DE1BD4" w:rsidRDefault="00FE48AD" w:rsidP="00C23798">
      <w:bookmarkStart w:id="507" w:name="_haapch"/>
      <w:bookmarkStart w:id="508" w:name="_Toc90826034"/>
      <w:bookmarkStart w:id="509" w:name="_Toc91172690"/>
      <w:bookmarkStart w:id="510" w:name="_Toc91185577"/>
      <w:bookmarkEnd w:id="499"/>
      <w:bookmarkEnd w:id="506"/>
      <w:bookmarkEnd w:id="507"/>
      <w:r w:rsidRPr="00DE1BD4">
        <w:br w:type="page"/>
      </w:r>
    </w:p>
    <w:p w14:paraId="346DC75D" w14:textId="7EDEA946" w:rsidR="00BF2580" w:rsidRPr="00DE1BD4" w:rsidRDefault="00B56641" w:rsidP="00766D40">
      <w:pPr>
        <w:pStyle w:val="NoNumber"/>
        <w:jc w:val="center"/>
      </w:pPr>
      <w:bookmarkStart w:id="511" w:name="_Toc181885836"/>
      <w:r w:rsidRPr="00DE1BD4">
        <w:t>Response Phase</w:t>
      </w:r>
      <w:bookmarkEnd w:id="508"/>
      <w:bookmarkEnd w:id="509"/>
      <w:bookmarkEnd w:id="510"/>
      <w:bookmarkEnd w:id="511"/>
    </w:p>
    <w:p w14:paraId="7285FA2C" w14:textId="74ED1DEA" w:rsidR="00BF2580" w:rsidRPr="00DE1BD4" w:rsidRDefault="002C7F19" w:rsidP="001F132B">
      <w:pPr>
        <w:pStyle w:val="Heading1"/>
      </w:pPr>
      <w:bookmarkStart w:id="512" w:name="_319y80a"/>
      <w:bookmarkStart w:id="513" w:name="_Toc90825922"/>
      <w:bookmarkStart w:id="514" w:name="_Toc90826035"/>
      <w:bookmarkStart w:id="515" w:name="_Toc91172691"/>
      <w:bookmarkStart w:id="516" w:name="_Toc91185578"/>
      <w:bookmarkStart w:id="517" w:name="_Ref174699922"/>
      <w:bookmarkStart w:id="518" w:name="_Toc181885837"/>
      <w:bookmarkEnd w:id="512"/>
      <w:r w:rsidRPr="00DE1BD4">
        <w:t xml:space="preserve">Emergency Operations Centre - </w:t>
      </w:r>
      <w:r w:rsidR="00B56641" w:rsidRPr="00DE1BD4">
        <w:t>Communication and Coordination</w:t>
      </w:r>
      <w:bookmarkEnd w:id="513"/>
      <w:bookmarkEnd w:id="514"/>
      <w:bookmarkEnd w:id="515"/>
      <w:bookmarkEnd w:id="516"/>
      <w:bookmarkEnd w:id="517"/>
      <w:bookmarkEnd w:id="518"/>
    </w:p>
    <w:p w14:paraId="0F3D61D1" w14:textId="02C4E558" w:rsidR="0099623F" w:rsidRPr="00DE1BD4" w:rsidRDefault="0099623F" w:rsidP="0099623F">
      <w:pPr>
        <w:rPr>
          <w:i/>
          <w:iCs/>
        </w:rPr>
      </w:pPr>
      <w:r w:rsidRPr="00DE1BD4">
        <w:rPr>
          <w:i/>
          <w:iCs/>
        </w:rPr>
        <w:t>Consider planning for the development of Emergency Operations Centres (EOCs) or communication and coordination command posts to provide critical communications to users in each organisation involved during the response phase of a disaster.</w:t>
      </w:r>
    </w:p>
    <w:p w14:paraId="5C544D4B" w14:textId="77777777" w:rsidR="00866DED" w:rsidRPr="008E5785" w:rsidRDefault="00866DED" w:rsidP="00866DED">
      <w:pPr>
        <w:jc w:val="center"/>
        <w:rPr>
          <w:b/>
          <w:bCs/>
        </w:rPr>
      </w:pPr>
      <w:r w:rsidRPr="008E5785">
        <w:rPr>
          <w:b/>
          <w:bCs/>
          <w:highlight w:val="yellow"/>
        </w:rPr>
        <w:t>To be updated following stakeholder consultation</w:t>
      </w:r>
    </w:p>
    <w:p w14:paraId="368AA1DB" w14:textId="3A22CBCF" w:rsidR="002B55EB" w:rsidRPr="00DE1BD4" w:rsidRDefault="002B55EB" w:rsidP="006E153D">
      <w:r w:rsidRPr="00DE1BD4">
        <w:t>In the response phase, all contingency plans and standard operating procedures developed in the mitigation and preparedness phases must be executed. Telecom/ICTs must be determined to enable communications between first responders, decision makers in the government and the community.</w:t>
      </w:r>
    </w:p>
    <w:p w14:paraId="30234227" w14:textId="520F0065" w:rsidR="00A03026" w:rsidRPr="00DE1BD4" w:rsidRDefault="00A25FA9" w:rsidP="006E153D">
      <w:r w:rsidRPr="00DE1BD4">
        <w:t xml:space="preserve">During the disaster response phase, authorities can establish </w:t>
      </w:r>
      <w:r w:rsidR="0099623F" w:rsidRPr="00DE1BD4">
        <w:t>Emergency Operations Centres</w:t>
      </w:r>
      <w:r w:rsidR="00092F73" w:rsidRPr="00DE1BD4">
        <w:t xml:space="preserve"> (EOC)</w:t>
      </w:r>
      <w:r w:rsidR="00A027FB" w:rsidRPr="00DE1BD4">
        <w:t xml:space="preserve">, </w:t>
      </w:r>
      <w:r w:rsidRPr="00DE1BD4">
        <w:t xml:space="preserve">communication </w:t>
      </w:r>
      <w:r w:rsidR="00A46C69" w:rsidRPr="00DE1BD4">
        <w:t>or</w:t>
      </w:r>
      <w:r w:rsidRPr="00DE1BD4">
        <w:t xml:space="preserve"> coordination command posts</w:t>
      </w:r>
      <w:r w:rsidR="00241F41" w:rsidRPr="00DE1BD4">
        <w:t xml:space="preserve"> </w:t>
      </w:r>
      <w:r w:rsidRPr="00DE1BD4">
        <w:t xml:space="preserve">to provide critical </w:t>
      </w:r>
      <w:r w:rsidR="000E71DB" w:rsidRPr="00DE1BD4">
        <w:t>tele</w:t>
      </w:r>
      <w:r w:rsidRPr="00DE1BD4">
        <w:t xml:space="preserve">communications </w:t>
      </w:r>
      <w:r w:rsidR="007E3103" w:rsidRPr="00DE1BD4">
        <w:t>facilities to coordinate response efforts among all the different</w:t>
      </w:r>
      <w:r w:rsidR="008D7A6A" w:rsidRPr="00DE1BD4">
        <w:t xml:space="preserve"> actor</w:t>
      </w:r>
      <w:r w:rsidR="007E3103" w:rsidRPr="00DE1BD4">
        <w:t>s</w:t>
      </w:r>
      <w:r w:rsidR="008D7A6A" w:rsidRPr="00DE1BD4">
        <w:t xml:space="preserve"> involved in disaster response</w:t>
      </w:r>
      <w:r w:rsidR="007E3103" w:rsidRPr="00DE1BD4">
        <w:t>. These include</w:t>
      </w:r>
      <w:r w:rsidR="008D7A6A" w:rsidRPr="00DE1BD4">
        <w:t xml:space="preserve"> communications between response agencies, as well as between affected population and their families</w:t>
      </w:r>
      <w:r w:rsidR="007E3103" w:rsidRPr="00DE1BD4">
        <w:t>,</w:t>
      </w:r>
      <w:r w:rsidR="008D7A6A" w:rsidRPr="00DE1BD4">
        <w:t xml:space="preserve"> and communications in shelters</w:t>
      </w:r>
      <w:r w:rsidRPr="00DE1BD4">
        <w:t xml:space="preserve">. </w:t>
      </w:r>
      <w:r w:rsidR="007E3103" w:rsidRPr="00DE1BD4">
        <w:t>C</w:t>
      </w:r>
      <w:r w:rsidRPr="00DE1BD4">
        <w:t xml:space="preserve">ommand posts can be fixed or mobile, local or remote, or </w:t>
      </w:r>
      <w:r w:rsidR="005D08FC" w:rsidRPr="00DE1BD4">
        <w:t>be in</w:t>
      </w:r>
      <w:r w:rsidRPr="00DE1BD4">
        <w:t xml:space="preserve"> a vehicle or in a shelter</w:t>
      </w:r>
      <w:r w:rsidR="005E17A3" w:rsidRPr="00DE1BD4">
        <w:t>, among other possibilities.</w:t>
      </w:r>
    </w:p>
    <w:p w14:paraId="53FC1535" w14:textId="39FEEA09" w:rsidR="00FA394A" w:rsidRPr="00DE1BD4" w:rsidRDefault="00A25FA9" w:rsidP="006E153D">
      <w:r w:rsidRPr="00DE1BD4">
        <w:t xml:space="preserve">The functions of these command positions are to assess the </w:t>
      </w:r>
      <w:r w:rsidR="00895533" w:rsidRPr="00DE1BD4">
        <w:t>emergency</w:t>
      </w:r>
      <w:r w:rsidRPr="00DE1BD4">
        <w:t>, inform a dispatcher, and identify and request appropriate resources when necessary.</w:t>
      </w:r>
      <w:r w:rsidR="00FA394A" w:rsidRPr="00DE1BD4">
        <w:t xml:space="preserve"> Therefore, these command posts should be </w:t>
      </w:r>
      <w:r w:rsidR="00016B4B" w:rsidRPr="00DE1BD4">
        <w:t xml:space="preserve">constantly </w:t>
      </w:r>
      <w:r w:rsidR="00FA394A" w:rsidRPr="00DE1BD4">
        <w:t xml:space="preserve">in contact with </w:t>
      </w:r>
      <w:r w:rsidR="00016B4B" w:rsidRPr="00DE1BD4">
        <w:t xml:space="preserve">the EOC and with </w:t>
      </w:r>
      <w:r w:rsidR="00FA394A" w:rsidRPr="00DE1BD4">
        <w:t xml:space="preserve">each other (one in a remote location outside the perimeter of potential danger, and the other one on the site of the emergency, for example), in order to respond to the direct requirements that are generated in the emergency area, to dispatch equipment and personnel, </w:t>
      </w:r>
      <w:r w:rsidR="0079375B" w:rsidRPr="00DE1BD4">
        <w:t xml:space="preserve">to </w:t>
      </w:r>
      <w:r w:rsidR="00FA394A" w:rsidRPr="00DE1BD4">
        <w:t xml:space="preserve">anticipate the need to provide more support and assistance, and </w:t>
      </w:r>
      <w:r w:rsidR="0079375B" w:rsidRPr="00DE1BD4">
        <w:t xml:space="preserve">to </w:t>
      </w:r>
      <w:r w:rsidR="00FA394A" w:rsidRPr="00DE1BD4">
        <w:t>position additional resources in the area.</w:t>
      </w:r>
    </w:p>
    <w:p w14:paraId="1CA46B4A" w14:textId="5DF9BEFA" w:rsidR="00241F41" w:rsidRDefault="00FA394A" w:rsidP="006E153D">
      <w:r w:rsidRPr="00DE1BD4">
        <w:t xml:space="preserve">Considering this, it is important to maintain interoperable and continuous communications between command posts and between the rest of stakeholders involved in the response </w:t>
      </w:r>
      <w:r w:rsidR="00380B79" w:rsidRPr="00DE1BD4">
        <w:t>phase</w:t>
      </w:r>
      <w:r w:rsidRPr="00DE1BD4">
        <w:t xml:space="preserve">. With this purpose, </w:t>
      </w:r>
      <w:r w:rsidR="0079375B" w:rsidRPr="00DE1BD4">
        <w:t>the national government should</w:t>
      </w:r>
      <w:r w:rsidRPr="00DE1BD4">
        <w:t xml:space="preserve"> use all available means of communication</w:t>
      </w:r>
      <w:r w:rsidR="00F648B6" w:rsidRPr="00DE1BD4">
        <w:t xml:space="preserve"> and </w:t>
      </w:r>
      <w:r w:rsidR="00F928E7" w:rsidRPr="00DE1BD4">
        <w:t>technologies and</w:t>
      </w:r>
      <w:r w:rsidRPr="00DE1BD4">
        <w:t xml:space="preserve"> maintain close coordination with the various agencies involved.</w:t>
      </w:r>
    </w:p>
    <w:p w14:paraId="57867552" w14:textId="5F2137EB" w:rsidR="00A1504D" w:rsidRDefault="00506304" w:rsidP="006E153D">
      <w:r>
        <w:t xml:space="preserve">In the case of </w:t>
      </w:r>
      <w:r w:rsidR="0058663B">
        <w:t>The Gambia</w:t>
      </w:r>
      <w:r w:rsidR="00FD5C1E">
        <w:t xml:space="preserve">, </w:t>
      </w:r>
      <w:r w:rsidR="0058663B">
        <w:t>there is a Public Health Emergency Operation Centre (PHEOC)</w:t>
      </w:r>
      <w:r w:rsidR="009240E8">
        <w:t xml:space="preserve"> </w:t>
      </w:r>
      <w:r w:rsidR="0083564D">
        <w:t>that has</w:t>
      </w:r>
      <w:r w:rsidR="00FD5C1E">
        <w:t xml:space="preserve"> been </w:t>
      </w:r>
      <w:r w:rsidR="0083564D">
        <w:t xml:space="preserve">implemented to support </w:t>
      </w:r>
      <w:r w:rsidR="0060401C">
        <w:t xml:space="preserve">the </w:t>
      </w:r>
      <w:r w:rsidR="00907961">
        <w:t xml:space="preserve">response and </w:t>
      </w:r>
      <w:r w:rsidR="0060401C">
        <w:t xml:space="preserve">management of </w:t>
      </w:r>
      <w:r w:rsidR="00B26D50">
        <w:t>health-related</w:t>
      </w:r>
      <w:r w:rsidR="002C254B">
        <w:t xml:space="preserve"> disasters such as the recent COVID-19 pandemic</w:t>
      </w:r>
      <w:r w:rsidR="00907961" w:rsidRPr="0045782B">
        <w:rPr>
          <w:rStyle w:val="FootnoteReference"/>
        </w:rPr>
        <w:footnoteReference w:id="175"/>
      </w:r>
      <w:r w:rsidR="00FA35F7">
        <w:t>.</w:t>
      </w:r>
      <w:r w:rsidR="00FD5C1E">
        <w:t xml:space="preserve"> </w:t>
      </w:r>
      <w:r w:rsidR="00B33054">
        <w:t>It is unknown if the PHEOC</w:t>
      </w:r>
      <w:r w:rsidR="003823F8">
        <w:t xml:space="preserve"> </w:t>
      </w:r>
      <w:r w:rsidR="00FA35F7">
        <w:t>will support and facilitate early warning</w:t>
      </w:r>
      <w:r w:rsidR="00C5676F">
        <w:t xml:space="preserve"> and multi-hazard monitoring as well a central point of command and control and information gathering, analysis and dissemination</w:t>
      </w:r>
      <w:r w:rsidR="003823F8">
        <w:t xml:space="preserve"> for all types of disaster events</w:t>
      </w:r>
      <w:r w:rsidR="00A1504D" w:rsidRPr="00DE1BD4">
        <w:t>.</w:t>
      </w:r>
    </w:p>
    <w:p w14:paraId="5F468251" w14:textId="77777777" w:rsidR="009902E8" w:rsidRPr="00DE1BD4" w:rsidRDefault="009902E8" w:rsidP="009902E8">
      <w:pPr>
        <w:rPr>
          <w:b/>
          <w:i/>
          <w:iCs/>
        </w:rPr>
      </w:pPr>
      <w:bookmarkStart w:id="519" w:name="_Hlk116846606"/>
      <w:r w:rsidRPr="00DE1BD4">
        <w:rPr>
          <w:b/>
          <w:i/>
          <w:iCs/>
        </w:rPr>
        <w:t>Implementation Item13:</w:t>
      </w:r>
    </w:p>
    <w:p w14:paraId="2F024E1F" w14:textId="77777777" w:rsidR="009902E8" w:rsidRDefault="009902E8" w:rsidP="009902E8">
      <w:pPr>
        <w:rPr>
          <w:i/>
          <w:iCs/>
        </w:rPr>
      </w:pPr>
      <w:r w:rsidRPr="00DE1BD4">
        <w:rPr>
          <w:i/>
          <w:iCs/>
        </w:rPr>
        <w:t xml:space="preserve">Consider planning for the </w:t>
      </w:r>
      <w:r>
        <w:rPr>
          <w:i/>
          <w:iCs/>
        </w:rPr>
        <w:t>support of the</w:t>
      </w:r>
      <w:r w:rsidRPr="00DE1BD4">
        <w:rPr>
          <w:i/>
          <w:iCs/>
        </w:rPr>
        <w:t xml:space="preserve"> emergency operations centres or communication and coordination command posts to </w:t>
      </w:r>
      <w:r>
        <w:rPr>
          <w:i/>
          <w:iCs/>
        </w:rPr>
        <w:t xml:space="preserve">ensure that </w:t>
      </w:r>
      <w:r w:rsidRPr="00DE1BD4">
        <w:rPr>
          <w:i/>
          <w:iCs/>
        </w:rPr>
        <w:t xml:space="preserve">critical communications to </w:t>
      </w:r>
      <w:r>
        <w:rPr>
          <w:i/>
          <w:iCs/>
        </w:rPr>
        <w:t>stakeholders, first responders and the community is reliable.</w:t>
      </w:r>
    </w:p>
    <w:p w14:paraId="067BB5EF" w14:textId="77777777" w:rsidR="009902E8" w:rsidRPr="00DE1BD4" w:rsidRDefault="009902E8" w:rsidP="009902E8">
      <w:pPr>
        <w:rPr>
          <w:rFonts w:asciiTheme="minorHAnsi" w:eastAsiaTheme="minorHAnsi" w:hAnsiTheme="minorHAnsi" w:cstheme="minorBidi"/>
          <w:i/>
          <w:iCs/>
          <w:lang w:eastAsia="en-US"/>
        </w:rPr>
      </w:pPr>
      <w:r>
        <w:rPr>
          <w:i/>
          <w:iCs/>
        </w:rPr>
        <w:t xml:space="preserve">Consider the telecommunication aspects of </w:t>
      </w:r>
      <w:r w:rsidRPr="00DE1BD4">
        <w:rPr>
          <w:i/>
          <w:iCs/>
        </w:rPr>
        <w:t xml:space="preserve">positions </w:t>
      </w:r>
      <w:r>
        <w:rPr>
          <w:i/>
          <w:iCs/>
        </w:rPr>
        <w:t xml:space="preserve">that may </w:t>
      </w:r>
      <w:r w:rsidRPr="00DE1BD4">
        <w:rPr>
          <w:i/>
          <w:iCs/>
        </w:rPr>
        <w:t>be fixed</w:t>
      </w:r>
      <w:r>
        <w:rPr>
          <w:i/>
          <w:iCs/>
        </w:rPr>
        <w:t xml:space="preserve"> in a different location,</w:t>
      </w:r>
      <w:r w:rsidRPr="00DE1BD4">
        <w:rPr>
          <w:i/>
          <w:iCs/>
        </w:rPr>
        <w:t xml:space="preserve"> mobile, local, or remote, and in a vehicle or in a shelter, among other possibilities. Maintaining interoperable and continuous communications between command posts and the rest of the stakeholders, Shelters and other key locations, is vital for an effective response to the emergency. The network connectivity to Shelters needs to be checked to ensure it is reliable, stable, and able to cope with expected demands.</w:t>
      </w:r>
    </w:p>
    <w:p w14:paraId="52FF4DEA" w14:textId="41B7F215" w:rsidR="009902E8" w:rsidRPr="00DE1BD4" w:rsidRDefault="009902E8" w:rsidP="009902E8">
      <w:pPr>
        <w:rPr>
          <w:i/>
          <w:iCs/>
        </w:rPr>
      </w:pPr>
      <w:r w:rsidRPr="00DE1BD4">
        <w:rPr>
          <w:i/>
          <w:iCs/>
        </w:rPr>
        <w:t xml:space="preserve">Develop Standard Operating Procedures (SOPs) for all </w:t>
      </w:r>
      <w:r w:rsidR="009536CD">
        <w:rPr>
          <w:i/>
          <w:iCs/>
        </w:rPr>
        <w:t>E</w:t>
      </w:r>
      <w:r w:rsidRPr="00DE1BD4">
        <w:rPr>
          <w:i/>
          <w:iCs/>
        </w:rPr>
        <w:t xml:space="preserve">mergency </w:t>
      </w:r>
      <w:r w:rsidR="009536CD">
        <w:rPr>
          <w:i/>
          <w:iCs/>
        </w:rPr>
        <w:t>O</w:t>
      </w:r>
      <w:r w:rsidRPr="00DE1BD4">
        <w:rPr>
          <w:i/>
          <w:iCs/>
        </w:rPr>
        <w:t xml:space="preserve">perations </w:t>
      </w:r>
      <w:r w:rsidR="009536CD">
        <w:rPr>
          <w:i/>
          <w:iCs/>
        </w:rPr>
        <w:t>C</w:t>
      </w:r>
      <w:r w:rsidRPr="00DE1BD4">
        <w:rPr>
          <w:i/>
          <w:iCs/>
        </w:rPr>
        <w:t>entres (EOCs) that include the coordination and communication procedures and roles for every stakeholder involved in the process, such as public and private persons and agencies, and international humanitarian actors, among others. These emergency operations centres should also have defined locations and determined equipment and telecom/ICT infrastructure requirements.</w:t>
      </w:r>
    </w:p>
    <w:bookmarkEnd w:id="519"/>
    <w:p w14:paraId="15830BF2" w14:textId="275CFDC6" w:rsidR="009902E8" w:rsidRDefault="009902E8">
      <w:pPr>
        <w:jc w:val="left"/>
      </w:pPr>
      <w:r>
        <w:br w:type="page"/>
      </w:r>
    </w:p>
    <w:p w14:paraId="3335657C" w14:textId="77777777" w:rsidR="00D80CCC" w:rsidRPr="00DE1BD4" w:rsidRDefault="00D80CCC" w:rsidP="00B33054">
      <w:pPr>
        <w:pStyle w:val="Heading1"/>
      </w:pPr>
      <w:bookmarkStart w:id="520" w:name="_Toc90825923"/>
      <w:bookmarkStart w:id="521" w:name="_Toc90826036"/>
      <w:bookmarkStart w:id="522" w:name="_Toc91172692"/>
      <w:bookmarkStart w:id="523" w:name="_Toc91185579"/>
      <w:bookmarkStart w:id="524" w:name="_Toc181885838"/>
      <w:r w:rsidRPr="00DE1BD4">
        <w:t>Collection and Analysis of Information</w:t>
      </w:r>
      <w:bookmarkEnd w:id="520"/>
      <w:bookmarkEnd w:id="521"/>
      <w:bookmarkEnd w:id="522"/>
      <w:bookmarkEnd w:id="523"/>
      <w:bookmarkEnd w:id="524"/>
    </w:p>
    <w:p w14:paraId="228319D2" w14:textId="77777777" w:rsidR="00D80CCC" w:rsidRPr="00DE1BD4" w:rsidRDefault="00D80CCC" w:rsidP="00D80CCC">
      <w:r w:rsidRPr="00DE1BD4">
        <w:t>An in-depth review of current practices and future options for information collection, storage and management is beyond the scope of this first draft of the NETP.</w:t>
      </w:r>
    </w:p>
    <w:p w14:paraId="1A82439D" w14:textId="77777777" w:rsidR="00D80CCC" w:rsidRPr="00DE1BD4" w:rsidRDefault="00D80CCC" w:rsidP="00D80CCC">
      <w:r w:rsidRPr="00DE1BD4">
        <w:t>A key element during the response phase of disaster management is to assess the impact on the telecom/ICT networks and prioritize the deployment of critical telecom/ICT infrastructure to the most affected areas. Gathering, evaluating and communicating information in a timely manner to the corresponding authorities (e.g. health entities, firefighters, police, among others), allows them to respond to the needs of the affected population as soon as possible.</w:t>
      </w:r>
    </w:p>
    <w:p w14:paraId="1268ABF7" w14:textId="77777777" w:rsidR="00D80CCC" w:rsidRDefault="00D80CCC" w:rsidP="00D80CCC">
      <w:r w:rsidRPr="00DE1BD4">
        <w:t xml:space="preserve">Telecom/ICT networks should also be used to collect and analyse information related to the immediate needs of the population affected by the emergency, and to coordinate the safe delivery of such needs. </w:t>
      </w:r>
    </w:p>
    <w:p w14:paraId="58CDA608" w14:textId="77F9BBBC" w:rsidR="00776F8A" w:rsidRPr="00DE1BD4" w:rsidRDefault="00776F8A" w:rsidP="00D80CCC">
      <w:r w:rsidRPr="00776F8A">
        <w:t>For achieving this goal, it is necessary to use all the available telecom/ICT networks and include collection of geospatial information from the disaster so as to analyse the information obtained and coordinate the response planning geographically.</w:t>
      </w:r>
    </w:p>
    <w:p w14:paraId="343D8A6F" w14:textId="77777777" w:rsidR="00B135EE" w:rsidRPr="00DE1BD4" w:rsidRDefault="00B135EE" w:rsidP="00B135EE">
      <w:bookmarkStart w:id="525" w:name="_1gf8i83"/>
      <w:bookmarkStart w:id="526" w:name="_Hlk116846656"/>
      <w:bookmarkEnd w:id="525"/>
    </w:p>
    <w:bookmarkEnd w:id="526"/>
    <w:p w14:paraId="0DEF668B" w14:textId="69497B24" w:rsidR="00D80CCC" w:rsidRPr="00DE1BD4" w:rsidRDefault="00D80CCC">
      <w:pPr>
        <w:jc w:val="left"/>
      </w:pPr>
      <w:r w:rsidRPr="00DE1BD4">
        <w:br w:type="page"/>
      </w:r>
    </w:p>
    <w:p w14:paraId="329CDB2C" w14:textId="3DA1D2F2" w:rsidR="00BF2580" w:rsidRPr="00DE1BD4" w:rsidRDefault="001C2518" w:rsidP="001F132B">
      <w:pPr>
        <w:pStyle w:val="Heading1"/>
      </w:pPr>
      <w:bookmarkStart w:id="527" w:name="_40ew0vw"/>
      <w:bookmarkStart w:id="528" w:name="_Toc90825924"/>
      <w:bookmarkStart w:id="529" w:name="_Toc90826037"/>
      <w:bookmarkStart w:id="530" w:name="_Toc91172693"/>
      <w:bookmarkStart w:id="531" w:name="_Toc91185580"/>
      <w:bookmarkStart w:id="532" w:name="_Toc181885839"/>
      <w:bookmarkEnd w:id="527"/>
      <w:r w:rsidRPr="00DE1BD4">
        <w:t xml:space="preserve">Contact Centre for </w:t>
      </w:r>
      <w:r w:rsidR="008C5CD4" w:rsidRPr="00DE1BD4">
        <w:t>Emergency Awareness and Updates</w:t>
      </w:r>
      <w:bookmarkEnd w:id="528"/>
      <w:bookmarkEnd w:id="529"/>
      <w:bookmarkEnd w:id="530"/>
      <w:bookmarkEnd w:id="531"/>
      <w:bookmarkEnd w:id="532"/>
    </w:p>
    <w:p w14:paraId="03D8FBA7" w14:textId="5A5F9B7D" w:rsidR="006577A1" w:rsidRPr="00DE1BD4" w:rsidRDefault="006577A1" w:rsidP="006577A1">
      <w:pPr>
        <w:rPr>
          <w:i/>
          <w:iCs/>
        </w:rPr>
      </w:pPr>
      <w:r w:rsidRPr="00DE1BD4">
        <w:rPr>
          <w:i/>
          <w:iCs/>
        </w:rPr>
        <w:t xml:space="preserve">Plan for the establishment of call centres during the response phase. These should be established to warn the affected population of new risks, disseminate updates about the </w:t>
      </w:r>
      <w:r w:rsidR="00D345B9" w:rsidRPr="00DE1BD4">
        <w:rPr>
          <w:i/>
          <w:iCs/>
        </w:rPr>
        <w:t>emergency</w:t>
      </w:r>
      <w:r w:rsidRPr="00DE1BD4">
        <w:rPr>
          <w:i/>
          <w:iCs/>
        </w:rPr>
        <w:t>, and connect affected populations with their relatives.</w:t>
      </w:r>
    </w:p>
    <w:p w14:paraId="65A5200F" w14:textId="5BF1144F" w:rsidR="00866DED" w:rsidRPr="00B10993" w:rsidRDefault="00866DED" w:rsidP="00866DED">
      <w:pPr>
        <w:jc w:val="center"/>
        <w:rPr>
          <w:b/>
          <w:bCs/>
        </w:rPr>
      </w:pPr>
      <w:bookmarkStart w:id="533" w:name="_Hlk181882090"/>
      <w:r w:rsidRPr="00B10993">
        <w:rPr>
          <w:b/>
          <w:bCs/>
          <w:highlight w:val="yellow"/>
        </w:rPr>
        <w:t>To be updated following stakeholder consultation</w:t>
      </w:r>
    </w:p>
    <w:bookmarkEnd w:id="533"/>
    <w:p w14:paraId="3FA84848" w14:textId="767AF20F" w:rsidR="00A25FA9" w:rsidRPr="00DE1BD4" w:rsidRDefault="00A25FA9" w:rsidP="00A25FA9">
      <w:r w:rsidRPr="00DE1BD4">
        <w:t xml:space="preserve">During the response phase, it is </w:t>
      </w:r>
      <w:r w:rsidR="00BB37AB" w:rsidRPr="00DE1BD4">
        <w:t xml:space="preserve">also </w:t>
      </w:r>
      <w:r w:rsidRPr="00DE1BD4">
        <w:t xml:space="preserve">necessary to continue monitoring </w:t>
      </w:r>
      <w:r w:rsidR="00D847A4" w:rsidRPr="00DE1BD4">
        <w:t>hazards to warn population of possible</w:t>
      </w:r>
      <w:r w:rsidRPr="00DE1BD4">
        <w:t xml:space="preserve"> new risks</w:t>
      </w:r>
      <w:r w:rsidR="00D847A4" w:rsidRPr="00DE1BD4">
        <w:t xml:space="preserve">, as well as to </w:t>
      </w:r>
      <w:r w:rsidR="008C5CD4" w:rsidRPr="00DE1BD4">
        <w:t xml:space="preserve">develop </w:t>
      </w:r>
      <w:r w:rsidR="0079375B" w:rsidRPr="00DE1BD4">
        <w:t xml:space="preserve">continued </w:t>
      </w:r>
      <w:r w:rsidRPr="00DE1BD4">
        <w:t>updates o</w:t>
      </w:r>
      <w:r w:rsidR="0079375B" w:rsidRPr="00DE1BD4">
        <w:t>n</w:t>
      </w:r>
      <w:r w:rsidRPr="00DE1BD4">
        <w:t xml:space="preserve"> the </w:t>
      </w:r>
      <w:r w:rsidR="00EA087D" w:rsidRPr="00DE1BD4">
        <w:t>emergency</w:t>
      </w:r>
      <w:r w:rsidR="008C5CD4" w:rsidRPr="00DE1BD4">
        <w:t>.</w:t>
      </w:r>
    </w:p>
    <w:p w14:paraId="566C3046" w14:textId="77777777" w:rsidR="00A74E59" w:rsidRPr="00DE1BD4" w:rsidRDefault="00A74E59" w:rsidP="00A74E59">
      <w:r w:rsidRPr="00DE1BD4">
        <w:t>To achieve this goal, multiple methods of communication such as sound and television broadcasting, text messages and/or audio messages through mobile operators, social networks, applications, among others, should be employed.</w:t>
      </w:r>
    </w:p>
    <w:p w14:paraId="0F84D1C3" w14:textId="2CF94CA9" w:rsidR="00A74E59" w:rsidRPr="00DE1BD4" w:rsidRDefault="00A74E59" w:rsidP="00A74E59">
      <w:r w:rsidRPr="00DE1BD4">
        <w:t xml:space="preserve">Call centres should </w:t>
      </w:r>
      <w:r w:rsidR="002701E9" w:rsidRPr="00DE1BD4">
        <w:t xml:space="preserve">also </w:t>
      </w:r>
      <w:r w:rsidRPr="00DE1BD4">
        <w:t xml:space="preserve">be established to connect affected populations with their relatives during the response phase. Generally, these call centres can be in </w:t>
      </w:r>
      <w:r w:rsidR="00776F8A" w:rsidRPr="00DE1BD4">
        <w:t>shelters and</w:t>
      </w:r>
      <w:r w:rsidRPr="00DE1BD4">
        <w:t xml:space="preserve"> should use means of communication that do not congest the networks, for example, text messages. These call centres can also be established in collaboration with telecom/ICT operators in additional locations such as hostels and hotels.</w:t>
      </w:r>
    </w:p>
    <w:p w14:paraId="06FF27E0" w14:textId="51F7F615" w:rsidR="007C3FC5" w:rsidRPr="00DE1BD4" w:rsidRDefault="00A74E59" w:rsidP="00A74E59">
      <w:r w:rsidRPr="00DE1BD4">
        <w:t>If the country does not have the capacity (</w:t>
      </w:r>
      <w:r w:rsidRPr="00DE1BD4">
        <w:rPr>
          <w:i/>
          <w:iCs/>
        </w:rPr>
        <w:t xml:space="preserve">e.g., </w:t>
      </w:r>
      <w:r w:rsidRPr="00DE1BD4">
        <w:t>equipment, human or financial resources) to establish this type of call centres, this service can be provided by international organisations, such as the UN through one of its branches. In the Central African Republic, for example, the Emergency Telecommunications Cluster established a dedicated Covid-19 call centre in the country’s capital, Bangui, to give advice to callers and to refer potential cases of Covid-19 to the Ministry of Health as part of the national response to the pandemic</w:t>
      </w:r>
      <w:r w:rsidRPr="0045782B">
        <w:rPr>
          <w:rStyle w:val="FootnoteReference"/>
        </w:rPr>
        <w:footnoteReference w:id="176"/>
      </w:r>
      <w:r w:rsidR="007C3FC5">
        <w:t>.</w:t>
      </w:r>
    </w:p>
    <w:p w14:paraId="54DCC917" w14:textId="4259300E" w:rsidR="003D02BE" w:rsidRPr="00DE1BD4" w:rsidRDefault="003D02BE" w:rsidP="003D02BE">
      <w:pPr>
        <w:rPr>
          <w:b/>
          <w:i/>
          <w:iCs/>
        </w:rPr>
      </w:pPr>
      <w:r w:rsidRPr="00DE1BD4">
        <w:rPr>
          <w:b/>
          <w:i/>
          <w:iCs/>
        </w:rPr>
        <w:t xml:space="preserve">Implementation Task </w:t>
      </w:r>
      <w:r w:rsidR="00092F73" w:rsidRPr="00DE1BD4">
        <w:rPr>
          <w:b/>
          <w:i/>
          <w:iCs/>
        </w:rPr>
        <w:t>14</w:t>
      </w:r>
      <w:r w:rsidRPr="00DE1BD4">
        <w:rPr>
          <w:b/>
          <w:i/>
          <w:iCs/>
        </w:rPr>
        <w:t>:</w:t>
      </w:r>
    </w:p>
    <w:p w14:paraId="1C410F09" w14:textId="487E1BC0" w:rsidR="003D02BE" w:rsidRPr="00DE1BD4" w:rsidRDefault="003D02BE" w:rsidP="003D02BE">
      <w:pPr>
        <w:rPr>
          <w:i/>
          <w:iCs/>
        </w:rPr>
      </w:pPr>
      <w:r w:rsidRPr="00DE1BD4">
        <w:rPr>
          <w:i/>
          <w:iCs/>
        </w:rPr>
        <w:t xml:space="preserve">Investigate how call centres, potentially located in </w:t>
      </w:r>
      <w:r w:rsidR="0002551B" w:rsidRPr="00DE1BD4">
        <w:rPr>
          <w:i/>
          <w:iCs/>
        </w:rPr>
        <w:t xml:space="preserve">the EOC or </w:t>
      </w:r>
      <w:r w:rsidRPr="00DE1BD4">
        <w:rPr>
          <w:i/>
          <w:iCs/>
        </w:rPr>
        <w:t xml:space="preserve">shelters, can be established during </w:t>
      </w:r>
      <w:r w:rsidR="00AC3523" w:rsidRPr="00DE1BD4">
        <w:rPr>
          <w:i/>
          <w:iCs/>
        </w:rPr>
        <w:t xml:space="preserve">the </w:t>
      </w:r>
      <w:r w:rsidRPr="00DE1BD4">
        <w:rPr>
          <w:i/>
          <w:iCs/>
        </w:rPr>
        <w:t xml:space="preserve">response phase to warn the affected population of new risks, to disseminate updates about the </w:t>
      </w:r>
      <w:r w:rsidR="00EA087D" w:rsidRPr="00DE1BD4">
        <w:rPr>
          <w:i/>
          <w:iCs/>
        </w:rPr>
        <w:t>emergency</w:t>
      </w:r>
      <w:r w:rsidRPr="00DE1BD4">
        <w:rPr>
          <w:i/>
          <w:iCs/>
        </w:rPr>
        <w:t>, and to connect affected populations with their relatives, using means of communication that do not congest the networks (cell broadcast, CAP, infographics, text messages, geo-located information dissemination).</w:t>
      </w:r>
    </w:p>
    <w:p w14:paraId="438E6BF6" w14:textId="153B9DD2" w:rsidR="006577A1" w:rsidRPr="00B10993" w:rsidRDefault="00606D56" w:rsidP="00B10993">
      <w:pPr>
        <w:rPr>
          <w:i/>
          <w:iCs/>
        </w:rPr>
      </w:pPr>
      <w:r w:rsidRPr="00DE1BD4">
        <w:rPr>
          <w:i/>
          <w:iCs/>
        </w:rPr>
        <w:t xml:space="preserve">To establish these call centres, </w:t>
      </w:r>
      <w:r w:rsidR="00487B2C">
        <w:rPr>
          <w:i/>
          <w:iCs/>
        </w:rPr>
        <w:t>T</w:t>
      </w:r>
      <w:r w:rsidR="00DE009B">
        <w:rPr>
          <w:i/>
          <w:iCs/>
        </w:rPr>
        <w:t>he Gambia</w:t>
      </w:r>
      <w:r w:rsidRPr="00DE1BD4">
        <w:rPr>
          <w:i/>
          <w:iCs/>
        </w:rPr>
        <w:t xml:space="preserve"> could seek collaboration with telecom/ICT operators or international organisations to establish the required </w:t>
      </w:r>
      <w:r w:rsidR="00057469">
        <w:rPr>
          <w:i/>
          <w:iCs/>
        </w:rPr>
        <w:t xml:space="preserve">building and </w:t>
      </w:r>
      <w:r w:rsidRPr="00DE1BD4">
        <w:rPr>
          <w:i/>
          <w:iCs/>
        </w:rPr>
        <w:t>telecom/ICT infrastructure</w:t>
      </w:r>
      <w:r w:rsidR="002C0D01" w:rsidRPr="00DE1BD4">
        <w:rPr>
          <w:i/>
          <w:iCs/>
        </w:rPr>
        <w:t>.</w:t>
      </w:r>
      <w:bookmarkStart w:id="534" w:name="_2fk6b3p"/>
      <w:bookmarkStart w:id="535" w:name="_Toc90826038"/>
      <w:bookmarkStart w:id="536" w:name="_Toc91172694"/>
      <w:bookmarkStart w:id="537" w:name="_Toc91185581"/>
      <w:bookmarkEnd w:id="534"/>
      <w:r w:rsidR="006577A1" w:rsidRPr="00DE1BD4">
        <w:br w:type="page"/>
      </w:r>
    </w:p>
    <w:p w14:paraId="2DAC9B5C" w14:textId="44B08941" w:rsidR="00BF2580" w:rsidRPr="00DE1BD4" w:rsidRDefault="008C5CD4" w:rsidP="009536CD">
      <w:pPr>
        <w:pStyle w:val="NoNumber"/>
        <w:ind w:left="0" w:firstLine="0"/>
        <w:jc w:val="center"/>
        <w:rPr>
          <w:sz w:val="24"/>
        </w:rPr>
      </w:pPr>
      <w:bookmarkStart w:id="538" w:name="_Toc181885840"/>
      <w:r w:rsidRPr="00DE1BD4">
        <w:t>Recovery Phase</w:t>
      </w:r>
      <w:bookmarkEnd w:id="535"/>
      <w:bookmarkEnd w:id="536"/>
      <w:bookmarkEnd w:id="537"/>
      <w:bookmarkEnd w:id="538"/>
    </w:p>
    <w:p w14:paraId="0D7EF768" w14:textId="48660BAD" w:rsidR="008C5CD4" w:rsidRPr="00DE1BD4" w:rsidRDefault="00AA51E6" w:rsidP="001F132B">
      <w:pPr>
        <w:pStyle w:val="Heading1"/>
      </w:pPr>
      <w:bookmarkStart w:id="539" w:name="_upglbi"/>
      <w:bookmarkStart w:id="540" w:name="_Toc90825925"/>
      <w:bookmarkStart w:id="541" w:name="_Toc90826039"/>
      <w:bookmarkStart w:id="542" w:name="_Toc91172695"/>
      <w:bookmarkStart w:id="543" w:name="_Toc91185582"/>
      <w:bookmarkStart w:id="544" w:name="_Toc181885841"/>
      <w:bookmarkEnd w:id="539"/>
      <w:r w:rsidRPr="00DE1BD4">
        <w:t>A</w:t>
      </w:r>
      <w:r w:rsidR="008C5CD4" w:rsidRPr="00DE1BD4">
        <w:t xml:space="preserve">ssessment of </w:t>
      </w:r>
      <w:r w:rsidR="00311DE5" w:rsidRPr="00DE1BD4">
        <w:t>D</w:t>
      </w:r>
      <w:r w:rsidR="008C5CD4" w:rsidRPr="00DE1BD4">
        <w:t xml:space="preserve">amage, </w:t>
      </w:r>
      <w:r w:rsidR="008F1E80" w:rsidRPr="00DE1BD4">
        <w:t>Reconstruction,</w:t>
      </w:r>
      <w:r w:rsidR="008C5CD4" w:rsidRPr="00DE1BD4">
        <w:t xml:space="preserve"> and </w:t>
      </w:r>
      <w:r w:rsidR="00311DE5" w:rsidRPr="00DE1BD4">
        <w:t>I</w:t>
      </w:r>
      <w:r w:rsidR="008C5CD4" w:rsidRPr="00DE1BD4">
        <w:t xml:space="preserve">mprovement of </w:t>
      </w:r>
      <w:r w:rsidR="00311DE5" w:rsidRPr="00DE1BD4">
        <w:t>I</w:t>
      </w:r>
      <w:r w:rsidR="008C5CD4" w:rsidRPr="00DE1BD4">
        <w:t>nfrastructure</w:t>
      </w:r>
      <w:bookmarkEnd w:id="540"/>
      <w:bookmarkEnd w:id="541"/>
      <w:bookmarkEnd w:id="542"/>
      <w:bookmarkEnd w:id="543"/>
      <w:bookmarkEnd w:id="544"/>
    </w:p>
    <w:p w14:paraId="0E5E9674" w14:textId="1AC1505B" w:rsidR="00317180" w:rsidRPr="00DE1BD4" w:rsidRDefault="00317180" w:rsidP="00317180">
      <w:pPr>
        <w:rPr>
          <w:i/>
          <w:iCs/>
        </w:rPr>
      </w:pPr>
      <w:r w:rsidRPr="00DE1BD4">
        <w:rPr>
          <w:i/>
          <w:iCs/>
        </w:rPr>
        <w:t xml:space="preserve">Restoration and reconstruction of the telecom/ICT infrastructure should be based on lessons learned and the principle of building back better. </w:t>
      </w:r>
    </w:p>
    <w:p w14:paraId="59AD5B35" w14:textId="77777777" w:rsidR="00B10993" w:rsidRPr="00B10993" w:rsidRDefault="00B10993" w:rsidP="00B10993">
      <w:pPr>
        <w:jc w:val="center"/>
        <w:rPr>
          <w:b/>
          <w:bCs/>
        </w:rPr>
      </w:pPr>
      <w:r w:rsidRPr="00B10993">
        <w:rPr>
          <w:b/>
          <w:bCs/>
          <w:highlight w:val="yellow"/>
        </w:rPr>
        <w:t>To be updated following stakeholder consultation</w:t>
      </w:r>
    </w:p>
    <w:p w14:paraId="6E93D381" w14:textId="795F7277" w:rsidR="005227CD" w:rsidRPr="00DE1BD4" w:rsidRDefault="00317180" w:rsidP="005227CD">
      <w:pPr>
        <w:rPr>
          <w:rFonts w:asciiTheme="minorHAnsi" w:hAnsiTheme="minorHAnsi" w:cstheme="minorHAnsi"/>
        </w:rPr>
      </w:pPr>
      <w:r w:rsidRPr="00DE1BD4">
        <w:rPr>
          <w:rFonts w:asciiTheme="minorHAnsi" w:hAnsiTheme="minorHAnsi" w:cstheme="minorHAnsi"/>
        </w:rPr>
        <w:t>A</w:t>
      </w:r>
      <w:r w:rsidR="003D2600" w:rsidRPr="00DE1BD4">
        <w:rPr>
          <w:rFonts w:asciiTheme="minorHAnsi" w:hAnsiTheme="minorHAnsi" w:cstheme="minorHAnsi"/>
        </w:rPr>
        <w:t>fter a natural disaster occurs, i</w:t>
      </w:r>
      <w:r w:rsidR="005227CD" w:rsidRPr="00DE1BD4">
        <w:rPr>
          <w:rFonts w:asciiTheme="minorHAnsi" w:hAnsiTheme="minorHAnsi" w:cstheme="minorHAnsi"/>
        </w:rPr>
        <w:t xml:space="preserve">nitially it is necessary to maintain the availability of a minimum level of communications for those who carry out the damage assessment and reconstruction activity and to establish communication priorities </w:t>
      </w:r>
      <w:r w:rsidR="00F34C22" w:rsidRPr="00DE1BD4">
        <w:rPr>
          <w:rFonts w:asciiTheme="minorHAnsi" w:hAnsiTheme="minorHAnsi" w:cstheme="minorHAnsi"/>
        </w:rPr>
        <w:t>to</w:t>
      </w:r>
      <w:r w:rsidR="005227CD" w:rsidRPr="00DE1BD4">
        <w:rPr>
          <w:rFonts w:asciiTheme="minorHAnsi" w:hAnsiTheme="minorHAnsi" w:cstheme="minorHAnsi"/>
        </w:rPr>
        <w:t xml:space="preserve"> manage available telecommunications resources.</w:t>
      </w:r>
    </w:p>
    <w:p w14:paraId="1CB4C7A5" w14:textId="77777777" w:rsidR="00770634" w:rsidRPr="00DE1BD4" w:rsidRDefault="00253F07" w:rsidP="00253F07">
      <w:pPr>
        <w:rPr>
          <w:rFonts w:asciiTheme="minorHAnsi" w:hAnsiTheme="minorHAnsi" w:cstheme="minorHAnsi"/>
        </w:rPr>
      </w:pPr>
      <w:r w:rsidRPr="00DE1BD4">
        <w:rPr>
          <w:rFonts w:asciiTheme="minorHAnsi" w:hAnsiTheme="minorHAnsi" w:cstheme="minorHAnsi"/>
        </w:rPr>
        <w:t xml:space="preserve">During the recovery phase, the damage caused to the telecom/ICT networks should be evaluated as a precursor to timely reconstruction and improvement of the damaged infrastructure. This reconstruction should seek, at a minimum, to restore </w:t>
      </w:r>
      <w:r w:rsidR="000E71DB" w:rsidRPr="00DE1BD4">
        <w:rPr>
          <w:rFonts w:asciiTheme="minorHAnsi" w:hAnsiTheme="minorHAnsi" w:cstheme="minorHAnsi"/>
        </w:rPr>
        <w:t>tele</w:t>
      </w:r>
      <w:r w:rsidRPr="00DE1BD4">
        <w:rPr>
          <w:rFonts w:asciiTheme="minorHAnsi" w:hAnsiTheme="minorHAnsi" w:cstheme="minorHAnsi"/>
        </w:rPr>
        <w:t>communications</w:t>
      </w:r>
      <w:r w:rsidR="000E71DB" w:rsidRPr="00DE1BD4">
        <w:rPr>
          <w:rFonts w:asciiTheme="minorHAnsi" w:hAnsiTheme="minorHAnsi" w:cstheme="minorHAnsi"/>
        </w:rPr>
        <w:t xml:space="preserve"> facilities</w:t>
      </w:r>
      <w:r w:rsidRPr="00DE1BD4">
        <w:rPr>
          <w:rFonts w:asciiTheme="minorHAnsi" w:hAnsiTheme="minorHAnsi" w:cstheme="minorHAnsi"/>
        </w:rPr>
        <w:t xml:space="preserve"> to the same conditions as they were before the disaster. But, preferably, </w:t>
      </w:r>
      <w:r w:rsidR="00C86358" w:rsidRPr="00DE1BD4">
        <w:rPr>
          <w:rFonts w:asciiTheme="minorHAnsi" w:hAnsiTheme="minorHAnsi" w:cstheme="minorHAnsi"/>
        </w:rPr>
        <w:t>telecom/</w:t>
      </w:r>
      <w:r w:rsidRPr="00DE1BD4">
        <w:rPr>
          <w:rFonts w:asciiTheme="minorHAnsi" w:hAnsiTheme="minorHAnsi" w:cstheme="minorHAnsi"/>
        </w:rPr>
        <w:t xml:space="preserve">ICT infrastructure should be rebuilt on the principle of </w:t>
      </w:r>
      <w:r w:rsidRPr="00DE1BD4">
        <w:rPr>
          <w:rFonts w:asciiTheme="minorHAnsi" w:hAnsiTheme="minorHAnsi" w:cstheme="minorHAnsi"/>
          <w:i/>
          <w:iCs/>
        </w:rPr>
        <w:t>building back better</w:t>
      </w:r>
      <w:r w:rsidR="00035D8E" w:rsidRPr="00DE1BD4">
        <w:rPr>
          <w:rFonts w:asciiTheme="minorHAnsi" w:hAnsiTheme="minorHAnsi" w:cstheme="minorHAnsi"/>
        </w:rPr>
        <w:t>,</w:t>
      </w:r>
      <w:r w:rsidRPr="00DE1BD4">
        <w:rPr>
          <w:rFonts w:asciiTheme="minorHAnsi" w:hAnsiTheme="minorHAnsi" w:cstheme="minorHAnsi"/>
        </w:rPr>
        <w:t xml:space="preserve"> that is, reconstructing a more resilient infrastructure that can withstand future disasters.</w:t>
      </w:r>
      <w:r w:rsidR="005449C0" w:rsidRPr="00DE1BD4">
        <w:rPr>
          <w:rFonts w:asciiTheme="minorHAnsi" w:hAnsiTheme="minorHAnsi" w:cstheme="minorHAnsi"/>
        </w:rPr>
        <w:t xml:space="preserve"> </w:t>
      </w:r>
    </w:p>
    <w:p w14:paraId="5D67DD66" w14:textId="61E820A1" w:rsidR="00172483" w:rsidRPr="00DE1BD4" w:rsidRDefault="00B46CAB" w:rsidP="00253F07">
      <w:pPr>
        <w:rPr>
          <w:rFonts w:asciiTheme="minorHAnsi" w:hAnsiTheme="minorHAnsi" w:cstheme="minorHAnsi"/>
        </w:rPr>
      </w:pPr>
      <w:r w:rsidRPr="00DE1BD4">
        <w:rPr>
          <w:rFonts w:asciiTheme="minorHAnsi" w:hAnsiTheme="minorHAnsi" w:cstheme="minorHAnsi"/>
        </w:rPr>
        <w:t xml:space="preserve">Assessment, </w:t>
      </w:r>
      <w:r w:rsidR="008F1E80" w:rsidRPr="00DE1BD4">
        <w:rPr>
          <w:rFonts w:asciiTheme="minorHAnsi" w:hAnsiTheme="minorHAnsi" w:cstheme="minorHAnsi"/>
        </w:rPr>
        <w:t>reconstruction,</w:t>
      </w:r>
      <w:r w:rsidRPr="00DE1BD4">
        <w:rPr>
          <w:rFonts w:asciiTheme="minorHAnsi" w:hAnsiTheme="minorHAnsi" w:cstheme="minorHAnsi"/>
        </w:rPr>
        <w:t xml:space="preserve"> and improvement of telecom/ICT infrastructure </w:t>
      </w:r>
      <w:r w:rsidR="005449C0" w:rsidRPr="00DE1BD4">
        <w:rPr>
          <w:rFonts w:asciiTheme="minorHAnsi" w:hAnsiTheme="minorHAnsi" w:cstheme="minorHAnsi"/>
        </w:rPr>
        <w:t>can</w:t>
      </w:r>
      <w:r w:rsidRPr="00DE1BD4">
        <w:rPr>
          <w:rFonts w:asciiTheme="minorHAnsi" w:hAnsiTheme="minorHAnsi" w:cstheme="minorHAnsi"/>
        </w:rPr>
        <w:t xml:space="preserve"> be supported on the Post Disaster Needs Assessment</w:t>
      </w:r>
      <w:r w:rsidR="00D573A9" w:rsidRPr="00DE1BD4">
        <w:rPr>
          <w:rFonts w:asciiTheme="minorHAnsi" w:hAnsiTheme="minorHAnsi" w:cstheme="minorHAnsi"/>
        </w:rPr>
        <w:t xml:space="preserve"> (PDNA)</w:t>
      </w:r>
      <w:r w:rsidR="005449C0" w:rsidRPr="00DE1BD4">
        <w:rPr>
          <w:rFonts w:asciiTheme="minorHAnsi" w:hAnsiTheme="minorHAnsi" w:cstheme="minorHAnsi"/>
        </w:rPr>
        <w:t xml:space="preserve"> </w:t>
      </w:r>
      <w:r w:rsidRPr="00DE1BD4">
        <w:rPr>
          <w:rFonts w:asciiTheme="minorHAnsi" w:hAnsiTheme="minorHAnsi" w:cstheme="minorHAnsi"/>
        </w:rPr>
        <w:t>framework, signed by the United Nations Sustainable Development Group (UNSDG), the European Union and the World Bank</w:t>
      </w:r>
      <w:r w:rsidR="007650D0" w:rsidRPr="0045782B">
        <w:rPr>
          <w:rStyle w:val="FootnoteReference"/>
        </w:rPr>
        <w:footnoteReference w:id="177"/>
      </w:r>
      <w:r w:rsidR="005449C0" w:rsidRPr="00DE1BD4">
        <w:rPr>
          <w:rFonts w:asciiTheme="minorHAnsi" w:hAnsiTheme="minorHAnsi" w:cstheme="minorHAnsi"/>
        </w:rPr>
        <w:t>. The PDNA framework</w:t>
      </w:r>
      <w:r w:rsidRPr="00DE1BD4">
        <w:rPr>
          <w:rFonts w:asciiTheme="minorHAnsi" w:hAnsiTheme="minorHAnsi" w:cstheme="minorHAnsi"/>
        </w:rPr>
        <w:t xml:space="preserve"> provides a mechanism for joint assessment and recovery planning after a disaster</w:t>
      </w:r>
      <w:r w:rsidR="00D573A9" w:rsidRPr="00DE1BD4">
        <w:rPr>
          <w:rFonts w:asciiTheme="minorHAnsi" w:hAnsiTheme="minorHAnsi" w:cstheme="minorHAnsi"/>
        </w:rPr>
        <w:t xml:space="preserve">. </w:t>
      </w:r>
    </w:p>
    <w:p w14:paraId="21A488F4" w14:textId="7F8BD877" w:rsidR="005B787E" w:rsidRPr="00DE1BD4" w:rsidRDefault="005B787E" w:rsidP="005B787E">
      <w:pPr>
        <w:rPr>
          <w:b/>
          <w:i/>
          <w:iCs/>
        </w:rPr>
      </w:pPr>
      <w:bookmarkStart w:id="545" w:name="_Hlk116846714"/>
      <w:r w:rsidRPr="00DE1BD4">
        <w:rPr>
          <w:b/>
          <w:i/>
          <w:iCs/>
        </w:rPr>
        <w:t xml:space="preserve">Implementation </w:t>
      </w:r>
      <w:r w:rsidR="00F80274" w:rsidRPr="00DE1BD4">
        <w:rPr>
          <w:b/>
          <w:i/>
          <w:iCs/>
        </w:rPr>
        <w:t>Task</w:t>
      </w:r>
      <w:r w:rsidRPr="00DE1BD4">
        <w:rPr>
          <w:b/>
          <w:i/>
          <w:iCs/>
        </w:rPr>
        <w:t xml:space="preserve"> </w:t>
      </w:r>
      <w:r w:rsidR="00160740" w:rsidRPr="00DE1BD4">
        <w:rPr>
          <w:b/>
          <w:i/>
          <w:iCs/>
        </w:rPr>
        <w:t>15</w:t>
      </w:r>
      <w:r w:rsidRPr="00DE1BD4">
        <w:rPr>
          <w:b/>
          <w:i/>
          <w:iCs/>
        </w:rPr>
        <w:t>:</w:t>
      </w:r>
    </w:p>
    <w:p w14:paraId="4026CD76" w14:textId="77777777" w:rsidR="005B787E" w:rsidRPr="00DE1BD4" w:rsidRDefault="005B787E" w:rsidP="005B787E">
      <w:pPr>
        <w:rPr>
          <w:i/>
          <w:iCs/>
        </w:rPr>
      </w:pPr>
      <w:r w:rsidRPr="00DE1BD4">
        <w:rPr>
          <w:i/>
          <w:iCs/>
        </w:rPr>
        <w:t>Restoration and reconstruction of the telecom/ICT infrastructure should be based on lessons learned and on the principle of building back better. These activities should involve the active participation of the private sector service providers.</w:t>
      </w:r>
    </w:p>
    <w:p w14:paraId="5848D323" w14:textId="2BA4F306" w:rsidR="00C9216F" w:rsidRPr="00DE1BD4" w:rsidRDefault="005B787E" w:rsidP="005B787E">
      <w:pPr>
        <w:rPr>
          <w:i/>
          <w:iCs/>
        </w:rPr>
      </w:pPr>
      <w:r w:rsidRPr="00DE1BD4">
        <w:rPr>
          <w:i/>
          <w:iCs/>
        </w:rPr>
        <w:t>Assessment, reconstruction, and improvement of telecom/ICT infrastructure can be supported on the Post Disaster Needs Assessment framework.</w:t>
      </w:r>
    </w:p>
    <w:p w14:paraId="0A41CAFD" w14:textId="5D1458A0" w:rsidR="005B787E" w:rsidRPr="00DE1BD4" w:rsidRDefault="005B787E">
      <w:pPr>
        <w:jc w:val="left"/>
      </w:pPr>
      <w:r w:rsidRPr="00DE1BD4">
        <w:br w:type="page"/>
      </w:r>
    </w:p>
    <w:p w14:paraId="57160F95" w14:textId="0017429D" w:rsidR="00BF2580" w:rsidRPr="00DE1BD4" w:rsidRDefault="008C5CD4" w:rsidP="001F132B">
      <w:pPr>
        <w:pStyle w:val="Heading1"/>
      </w:pPr>
      <w:bookmarkStart w:id="546" w:name="_3ep43zb"/>
      <w:bookmarkStart w:id="547" w:name="_Toc90825926"/>
      <w:bookmarkStart w:id="548" w:name="_Toc90826040"/>
      <w:bookmarkStart w:id="549" w:name="_Toc91172696"/>
      <w:bookmarkStart w:id="550" w:name="_Toc91185583"/>
      <w:bookmarkStart w:id="551" w:name="_Toc181885842"/>
      <w:bookmarkEnd w:id="545"/>
      <w:bookmarkEnd w:id="546"/>
      <w:r w:rsidRPr="00DE1BD4">
        <w:t>Recovery Activities Follow-up</w:t>
      </w:r>
      <w:bookmarkEnd w:id="547"/>
      <w:bookmarkEnd w:id="548"/>
      <w:bookmarkEnd w:id="549"/>
      <w:bookmarkEnd w:id="550"/>
      <w:bookmarkEnd w:id="551"/>
    </w:p>
    <w:p w14:paraId="7805ECAD" w14:textId="5007341A" w:rsidR="006045E8" w:rsidRPr="00DE1BD4" w:rsidRDefault="006045E8" w:rsidP="006045E8">
      <w:pPr>
        <w:rPr>
          <w:b/>
          <w:bCs/>
          <w:i/>
          <w:iCs/>
          <w:color w:val="4472C4" w:themeColor="accent1"/>
        </w:rPr>
      </w:pPr>
      <w:r w:rsidRPr="00DE1BD4">
        <w:rPr>
          <w:b/>
          <w:bCs/>
          <w:i/>
          <w:iCs/>
          <w:color w:val="4472C4" w:themeColor="accent1"/>
        </w:rPr>
        <w:t>Action Item 16: NETP Update</w:t>
      </w:r>
    </w:p>
    <w:p w14:paraId="1655AC80" w14:textId="77777777" w:rsidR="006045E8" w:rsidRPr="00DE1BD4" w:rsidRDefault="006045E8" w:rsidP="006045E8">
      <w:pPr>
        <w:rPr>
          <w:i/>
          <w:iCs/>
        </w:rPr>
      </w:pPr>
      <w:r w:rsidRPr="00DE1BD4">
        <w:rPr>
          <w:i/>
          <w:iCs/>
        </w:rPr>
        <w:t>Based on the experience acquired during the disaster management, a report should be developed after the response and recovery phases that identifies lessons learned and includes necessary modifications and improvements that should be made to the NETP. These lessons learned and necessary modifications should be identified with the input of relevant actors involved in emergency telecommunications. The NETP should be updated every 2 to 3 years.</w:t>
      </w:r>
    </w:p>
    <w:p w14:paraId="2E2AC547" w14:textId="77777777" w:rsidR="00B10993" w:rsidRPr="00B10993" w:rsidRDefault="00B10993" w:rsidP="00B10993">
      <w:pPr>
        <w:jc w:val="center"/>
        <w:rPr>
          <w:b/>
          <w:bCs/>
        </w:rPr>
      </w:pPr>
      <w:r w:rsidRPr="00B10993">
        <w:rPr>
          <w:b/>
          <w:bCs/>
          <w:highlight w:val="yellow"/>
        </w:rPr>
        <w:t>To be updated following stakeholder consultation</w:t>
      </w:r>
    </w:p>
    <w:p w14:paraId="0B608C1D" w14:textId="78E1AD20" w:rsidR="00B2632C" w:rsidRPr="00DE1BD4" w:rsidRDefault="006045E8" w:rsidP="00B5506E">
      <w:r w:rsidRPr="00DE1BD4">
        <w:t>T</w:t>
      </w:r>
      <w:r w:rsidR="00AD76A8" w:rsidRPr="00DE1BD4">
        <w:t>elecom/ICT</w:t>
      </w:r>
      <w:r w:rsidR="008C5CD4" w:rsidRPr="00DE1BD4">
        <w:t>s</w:t>
      </w:r>
      <w:r w:rsidR="00A25FA9" w:rsidRPr="00DE1BD4">
        <w:t xml:space="preserve"> must have the capacity to support the recovery activities of the affected area.</w:t>
      </w:r>
      <w:r w:rsidR="000325D4" w:rsidRPr="00DE1BD4">
        <w:t xml:space="preserve"> </w:t>
      </w:r>
      <w:r w:rsidR="00A25FA9" w:rsidRPr="00DE1BD4">
        <w:t>This includes continuing to transmit relevant information for, among other objectives, updating the public on topics such as health services, shelter, food, or family reunification.</w:t>
      </w:r>
    </w:p>
    <w:p w14:paraId="23E5CB5E" w14:textId="28D4E1F1" w:rsidR="00571D71" w:rsidRPr="00DE1BD4" w:rsidRDefault="00571D71" w:rsidP="00B5506E">
      <w:r w:rsidRPr="00DE1BD4">
        <w:t xml:space="preserve">Importantly, the NETP and </w:t>
      </w:r>
      <w:r w:rsidR="00C65FA4" w:rsidRPr="00DE1BD4">
        <w:t xml:space="preserve">subsequent </w:t>
      </w:r>
      <w:r w:rsidR="00064011" w:rsidRPr="00DE1BD4">
        <w:t>implementation</w:t>
      </w:r>
      <w:r w:rsidR="00C65FA4" w:rsidRPr="00DE1BD4">
        <w:t xml:space="preserve"> actions should be reviewed on an annual basis</w:t>
      </w:r>
      <w:r w:rsidR="00D9148E" w:rsidRPr="00DE1BD4">
        <w:t xml:space="preserve"> and updated to reflect changes to the telecommunications sector, completion of various implementation tasks or addition of new implementation </w:t>
      </w:r>
      <w:r w:rsidR="00064011" w:rsidRPr="00DE1BD4">
        <w:t>task</w:t>
      </w:r>
      <w:r w:rsidR="00D9148E" w:rsidRPr="00DE1BD4">
        <w:t>.</w:t>
      </w:r>
    </w:p>
    <w:p w14:paraId="58496A75" w14:textId="2F095C4E" w:rsidR="005B787E" w:rsidRPr="00DE1BD4" w:rsidRDefault="005B787E" w:rsidP="005B787E">
      <w:pPr>
        <w:rPr>
          <w:i/>
          <w:iCs/>
        </w:rPr>
      </w:pPr>
      <w:r w:rsidRPr="00DE1BD4">
        <w:rPr>
          <w:b/>
          <w:i/>
          <w:iCs/>
        </w:rPr>
        <w:t xml:space="preserve">Implementation Task </w:t>
      </w:r>
      <w:r w:rsidR="00160740" w:rsidRPr="00DE1BD4">
        <w:rPr>
          <w:b/>
          <w:i/>
          <w:iCs/>
        </w:rPr>
        <w:t>16</w:t>
      </w:r>
      <w:r w:rsidRPr="00DE1BD4">
        <w:rPr>
          <w:b/>
          <w:i/>
          <w:iCs/>
        </w:rPr>
        <w:t>:</w:t>
      </w:r>
    </w:p>
    <w:p w14:paraId="2A19634B" w14:textId="6D1965C1" w:rsidR="005B787E" w:rsidRPr="00DE1BD4" w:rsidRDefault="005B787E" w:rsidP="005B787E">
      <w:pPr>
        <w:rPr>
          <w:i/>
          <w:iCs/>
        </w:rPr>
      </w:pPr>
      <w:r w:rsidRPr="00DE1BD4">
        <w:rPr>
          <w:i/>
          <w:iCs/>
        </w:rPr>
        <w:t xml:space="preserve">After the response and recovery phases and based on the experience acquired during the disaster management or during any drills and exercises conducted, a report should be developed identifying lessons </w:t>
      </w:r>
      <w:r w:rsidR="000C6F0B" w:rsidRPr="00DE1BD4">
        <w:rPr>
          <w:i/>
          <w:iCs/>
        </w:rPr>
        <w:t>learned and</w:t>
      </w:r>
      <w:r w:rsidRPr="00DE1BD4">
        <w:rPr>
          <w:i/>
          <w:iCs/>
        </w:rPr>
        <w:t xml:space="preserve"> including the necessary modifications and improvements that should be made to the NETP. The NETP should be reviewed every year before cyclone season and updated where necessary.</w:t>
      </w:r>
    </w:p>
    <w:p w14:paraId="216F91D8" w14:textId="4DCEC89C" w:rsidR="005B787E" w:rsidRPr="00DE1BD4" w:rsidRDefault="000C6F0B" w:rsidP="005B787E">
      <w:pPr>
        <w:rPr>
          <w:i/>
          <w:iCs/>
        </w:rPr>
      </w:pPr>
      <w:r>
        <w:rPr>
          <w:i/>
          <w:iCs/>
        </w:rPr>
        <w:t>PURA</w:t>
      </w:r>
      <w:r w:rsidR="005B787E" w:rsidRPr="00A93F7F">
        <w:rPr>
          <w:i/>
          <w:iCs/>
        </w:rPr>
        <w:t xml:space="preserve"> s</w:t>
      </w:r>
      <w:r w:rsidR="005B787E" w:rsidRPr="00DE1BD4">
        <w:rPr>
          <w:i/>
          <w:iCs/>
        </w:rPr>
        <w:t>hould review and provide feedback to the ITU on any progress, changes or NETP action items that have been implemented by an agreed timeframe (for example, six or nine months) after the validation of the NETP.</w:t>
      </w:r>
    </w:p>
    <w:p w14:paraId="64B9604B" w14:textId="77777777" w:rsidR="00276D42" w:rsidRPr="00DE1BD4" w:rsidRDefault="00276D42" w:rsidP="00276D42"/>
    <w:p w14:paraId="2384C5CC" w14:textId="77777777" w:rsidR="00C9216F" w:rsidRPr="00DE1BD4" w:rsidRDefault="00C9216F" w:rsidP="00B5506E"/>
    <w:p w14:paraId="0611A931" w14:textId="77777777" w:rsidR="00FE48AD" w:rsidRPr="00DE1BD4" w:rsidRDefault="00FE48AD">
      <w:pPr>
        <w:jc w:val="left"/>
        <w:rPr>
          <w:color w:val="2F5496"/>
          <w:sz w:val="38"/>
        </w:rPr>
      </w:pPr>
      <w:bookmarkStart w:id="552" w:name="_1tuee74"/>
      <w:bookmarkStart w:id="553" w:name="_Toc90826041"/>
      <w:bookmarkStart w:id="554" w:name="_Toc91172697"/>
      <w:bookmarkStart w:id="555" w:name="_Toc91185584"/>
      <w:bookmarkEnd w:id="552"/>
      <w:r w:rsidRPr="00DE1BD4">
        <w:br w:type="page"/>
      </w:r>
    </w:p>
    <w:p w14:paraId="29BBE954" w14:textId="2AD3452D" w:rsidR="005A7630" w:rsidRPr="00DE1BD4" w:rsidRDefault="005A7630" w:rsidP="00BE529D">
      <w:pPr>
        <w:pStyle w:val="NoNumber"/>
      </w:pPr>
      <w:bookmarkStart w:id="556" w:name="_Toc181885843"/>
      <w:r w:rsidRPr="00DE1BD4">
        <w:t>Annexes</w:t>
      </w:r>
      <w:bookmarkEnd w:id="553"/>
      <w:bookmarkEnd w:id="554"/>
      <w:bookmarkEnd w:id="555"/>
      <w:bookmarkEnd w:id="556"/>
    </w:p>
    <w:p w14:paraId="28F2F9B5" w14:textId="62935461" w:rsidR="005A7630" w:rsidRPr="00DE1BD4" w:rsidRDefault="005A7630" w:rsidP="00C528FF">
      <w:pPr>
        <w:pStyle w:val="Heading2"/>
        <w:numPr>
          <w:ilvl w:val="0"/>
          <w:numId w:val="0"/>
        </w:numPr>
      </w:pPr>
      <w:bookmarkStart w:id="557" w:name="_4du1wux"/>
      <w:bookmarkStart w:id="558" w:name="_Toc50421960"/>
      <w:bookmarkStart w:id="559" w:name="_Toc90825927"/>
      <w:bookmarkStart w:id="560" w:name="_Toc90826042"/>
      <w:bookmarkStart w:id="561" w:name="_Toc91172698"/>
      <w:bookmarkStart w:id="562" w:name="_Toc91185585"/>
      <w:bookmarkStart w:id="563" w:name="_Toc181885844"/>
      <w:bookmarkEnd w:id="557"/>
      <w:r w:rsidRPr="00DE1BD4">
        <w:t>A1. Inventory of Telecom/ICT networks</w:t>
      </w:r>
      <w:bookmarkEnd w:id="558"/>
      <w:bookmarkEnd w:id="559"/>
      <w:bookmarkEnd w:id="560"/>
      <w:bookmarkEnd w:id="561"/>
      <w:bookmarkEnd w:id="562"/>
      <w:bookmarkEnd w:id="563"/>
    </w:p>
    <w:p w14:paraId="0C626575" w14:textId="77777777" w:rsidR="005A7630" w:rsidRPr="00DE1BD4" w:rsidRDefault="005A7630" w:rsidP="0024297A">
      <w:pPr>
        <w:pStyle w:val="Heading4"/>
        <w:numPr>
          <w:ilvl w:val="0"/>
          <w:numId w:val="0"/>
        </w:numPr>
      </w:pPr>
      <w:r w:rsidRPr="00DE1BD4">
        <w:t>Radio broadcasting</w:t>
      </w:r>
    </w:p>
    <w:p w14:paraId="35DADEAB" w14:textId="77777777" w:rsidR="005A7630" w:rsidRPr="00DE1BD4" w:rsidRDefault="005A7630" w:rsidP="005A7630"/>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716"/>
        <w:gridCol w:w="1895"/>
        <w:gridCol w:w="1842"/>
        <w:gridCol w:w="1571"/>
      </w:tblGrid>
      <w:tr w:rsidR="005A7630" w:rsidRPr="00DE1BD4" w14:paraId="1CABBF42" w14:textId="77777777" w:rsidTr="00D149AA">
        <w:tc>
          <w:tcPr>
            <w:tcW w:w="1804" w:type="dxa"/>
          </w:tcPr>
          <w:p w14:paraId="289D238F" w14:textId="77777777" w:rsidR="005A7630" w:rsidRPr="00DE1BD4" w:rsidRDefault="005A7630" w:rsidP="007544EB">
            <w:pPr>
              <w:spacing w:before="40" w:after="40"/>
              <w:jc w:val="center"/>
              <w:rPr>
                <w:b/>
                <w:bCs/>
              </w:rPr>
            </w:pPr>
            <w:r w:rsidRPr="00DE1BD4">
              <w:rPr>
                <w:b/>
                <w:bCs/>
              </w:rPr>
              <w:t>Company</w:t>
            </w:r>
          </w:p>
        </w:tc>
        <w:tc>
          <w:tcPr>
            <w:tcW w:w="1716" w:type="dxa"/>
          </w:tcPr>
          <w:p w14:paraId="2F69EBD5" w14:textId="77777777" w:rsidR="005A7630" w:rsidRPr="00DE1BD4" w:rsidRDefault="005A7630" w:rsidP="007544EB">
            <w:pPr>
              <w:spacing w:before="40" w:after="40"/>
              <w:jc w:val="center"/>
              <w:rPr>
                <w:b/>
                <w:bCs/>
              </w:rPr>
            </w:pPr>
            <w:r w:rsidRPr="00DE1BD4">
              <w:rPr>
                <w:b/>
                <w:bCs/>
              </w:rPr>
              <w:t>Station Name</w:t>
            </w:r>
          </w:p>
        </w:tc>
        <w:tc>
          <w:tcPr>
            <w:tcW w:w="1895" w:type="dxa"/>
          </w:tcPr>
          <w:p w14:paraId="0D891DC7" w14:textId="77777777" w:rsidR="005A7630" w:rsidRPr="00DE1BD4" w:rsidRDefault="005A7630" w:rsidP="007544EB">
            <w:pPr>
              <w:spacing w:before="40" w:after="40"/>
              <w:jc w:val="center"/>
              <w:rPr>
                <w:b/>
                <w:bCs/>
              </w:rPr>
            </w:pPr>
            <w:r w:rsidRPr="00DE1BD4">
              <w:rPr>
                <w:b/>
                <w:bCs/>
              </w:rPr>
              <w:t>Transmitter Location (address)</w:t>
            </w:r>
          </w:p>
        </w:tc>
        <w:tc>
          <w:tcPr>
            <w:tcW w:w="1842" w:type="dxa"/>
          </w:tcPr>
          <w:p w14:paraId="60481523" w14:textId="77777777" w:rsidR="005A7630" w:rsidRPr="00DE1BD4" w:rsidRDefault="005A7630" w:rsidP="007544EB">
            <w:pPr>
              <w:spacing w:before="40" w:after="40"/>
              <w:jc w:val="center"/>
              <w:rPr>
                <w:b/>
                <w:bCs/>
              </w:rPr>
            </w:pPr>
            <w:r w:rsidRPr="00DE1BD4">
              <w:rPr>
                <w:b/>
                <w:bCs/>
              </w:rPr>
              <w:t>Frequency (FM/AM)</w:t>
            </w:r>
          </w:p>
        </w:tc>
        <w:tc>
          <w:tcPr>
            <w:tcW w:w="1571" w:type="dxa"/>
          </w:tcPr>
          <w:p w14:paraId="485FC23F" w14:textId="77777777" w:rsidR="005A7630" w:rsidRPr="00DE1BD4" w:rsidRDefault="005A7630" w:rsidP="007544EB">
            <w:pPr>
              <w:spacing w:before="40" w:after="40"/>
              <w:jc w:val="center"/>
              <w:rPr>
                <w:b/>
                <w:bCs/>
              </w:rPr>
            </w:pPr>
            <w:r w:rsidRPr="00DE1BD4">
              <w:rPr>
                <w:b/>
                <w:bCs/>
              </w:rPr>
              <w:t>Coverage (localities)</w:t>
            </w:r>
          </w:p>
        </w:tc>
      </w:tr>
      <w:tr w:rsidR="00CD62F5" w:rsidRPr="00DE1BD4" w14:paraId="5C279322" w14:textId="77777777" w:rsidTr="009800FA">
        <w:tc>
          <w:tcPr>
            <w:tcW w:w="1804" w:type="dxa"/>
            <w:vMerge w:val="restart"/>
            <w:vAlign w:val="center"/>
          </w:tcPr>
          <w:p w14:paraId="03D50EB0" w14:textId="1BE806F5" w:rsidR="00CD62F5" w:rsidRPr="00DE1BD4" w:rsidRDefault="00CD62F5" w:rsidP="009800FA">
            <w:pPr>
              <w:spacing w:before="40" w:after="40"/>
              <w:jc w:val="left"/>
            </w:pPr>
          </w:p>
        </w:tc>
        <w:tc>
          <w:tcPr>
            <w:tcW w:w="1716" w:type="dxa"/>
            <w:vAlign w:val="center"/>
          </w:tcPr>
          <w:p w14:paraId="1FA122E6" w14:textId="110665AD" w:rsidR="00CD62F5" w:rsidRPr="00DE1BD4" w:rsidRDefault="00CD62F5" w:rsidP="009800FA">
            <w:pPr>
              <w:spacing w:before="40" w:after="40"/>
              <w:jc w:val="center"/>
            </w:pPr>
          </w:p>
        </w:tc>
        <w:tc>
          <w:tcPr>
            <w:tcW w:w="1895" w:type="dxa"/>
            <w:vAlign w:val="center"/>
          </w:tcPr>
          <w:p w14:paraId="03C4846F" w14:textId="77777777" w:rsidR="00CD62F5" w:rsidRPr="00DE1BD4" w:rsidRDefault="00CD62F5" w:rsidP="009800FA">
            <w:pPr>
              <w:spacing w:before="40" w:after="40"/>
              <w:jc w:val="center"/>
            </w:pPr>
          </w:p>
        </w:tc>
        <w:tc>
          <w:tcPr>
            <w:tcW w:w="1842" w:type="dxa"/>
            <w:vAlign w:val="center"/>
          </w:tcPr>
          <w:p w14:paraId="2519569D" w14:textId="502AB248" w:rsidR="00CD62F5" w:rsidRPr="00DE1BD4" w:rsidRDefault="00CD62F5" w:rsidP="009800FA">
            <w:pPr>
              <w:spacing w:before="40" w:after="40"/>
              <w:jc w:val="center"/>
            </w:pPr>
          </w:p>
        </w:tc>
        <w:tc>
          <w:tcPr>
            <w:tcW w:w="1571" w:type="dxa"/>
            <w:vMerge w:val="restart"/>
            <w:vAlign w:val="center"/>
          </w:tcPr>
          <w:p w14:paraId="581C9907" w14:textId="475AFC1B" w:rsidR="00CD62F5" w:rsidRPr="00DE1BD4" w:rsidRDefault="00CD62F5" w:rsidP="009800FA">
            <w:pPr>
              <w:spacing w:before="40" w:after="40"/>
              <w:jc w:val="center"/>
            </w:pPr>
          </w:p>
        </w:tc>
      </w:tr>
      <w:tr w:rsidR="00CD62F5" w:rsidRPr="00DE1BD4" w14:paraId="6122462F" w14:textId="77777777" w:rsidTr="009800FA">
        <w:tc>
          <w:tcPr>
            <w:tcW w:w="1804" w:type="dxa"/>
            <w:vMerge/>
          </w:tcPr>
          <w:p w14:paraId="75446746" w14:textId="77777777" w:rsidR="00CD62F5" w:rsidRPr="00DE1BD4" w:rsidRDefault="00CD62F5" w:rsidP="007544EB">
            <w:pPr>
              <w:spacing w:before="40" w:after="40"/>
            </w:pPr>
          </w:p>
        </w:tc>
        <w:tc>
          <w:tcPr>
            <w:tcW w:w="1716" w:type="dxa"/>
            <w:vAlign w:val="center"/>
          </w:tcPr>
          <w:p w14:paraId="5C3AE628" w14:textId="3D775871" w:rsidR="00CD62F5" w:rsidRPr="00DE1BD4" w:rsidRDefault="00CD62F5" w:rsidP="009800FA">
            <w:pPr>
              <w:spacing w:before="40" w:after="40"/>
              <w:jc w:val="center"/>
            </w:pPr>
          </w:p>
        </w:tc>
        <w:tc>
          <w:tcPr>
            <w:tcW w:w="1895" w:type="dxa"/>
            <w:vAlign w:val="center"/>
          </w:tcPr>
          <w:p w14:paraId="5A9C84F1" w14:textId="77777777" w:rsidR="00CD62F5" w:rsidRPr="00DE1BD4" w:rsidRDefault="00CD62F5" w:rsidP="009800FA">
            <w:pPr>
              <w:spacing w:before="40" w:after="40"/>
              <w:jc w:val="center"/>
            </w:pPr>
          </w:p>
        </w:tc>
        <w:tc>
          <w:tcPr>
            <w:tcW w:w="1842" w:type="dxa"/>
            <w:vAlign w:val="center"/>
          </w:tcPr>
          <w:p w14:paraId="41A4E76B" w14:textId="2688C28A" w:rsidR="00CD62F5" w:rsidRPr="00DE1BD4" w:rsidRDefault="00CD62F5" w:rsidP="009800FA">
            <w:pPr>
              <w:spacing w:before="40" w:after="40"/>
              <w:jc w:val="center"/>
            </w:pPr>
          </w:p>
        </w:tc>
        <w:tc>
          <w:tcPr>
            <w:tcW w:w="1571" w:type="dxa"/>
            <w:vMerge/>
            <w:vAlign w:val="center"/>
          </w:tcPr>
          <w:p w14:paraId="6E4ED3DA" w14:textId="77777777" w:rsidR="00CD62F5" w:rsidRPr="00DE1BD4" w:rsidRDefault="00CD62F5" w:rsidP="009800FA">
            <w:pPr>
              <w:spacing w:before="40" w:after="40"/>
              <w:jc w:val="center"/>
            </w:pPr>
          </w:p>
        </w:tc>
      </w:tr>
      <w:tr w:rsidR="00CD62F5" w:rsidRPr="00DE1BD4" w14:paraId="01C912AC" w14:textId="77777777" w:rsidTr="009800FA">
        <w:tc>
          <w:tcPr>
            <w:tcW w:w="1804" w:type="dxa"/>
            <w:vMerge/>
          </w:tcPr>
          <w:p w14:paraId="52534EBC" w14:textId="77777777" w:rsidR="00CD62F5" w:rsidRPr="00DE1BD4" w:rsidRDefault="00CD62F5" w:rsidP="007544EB">
            <w:pPr>
              <w:spacing w:before="40" w:after="40"/>
            </w:pPr>
          </w:p>
        </w:tc>
        <w:tc>
          <w:tcPr>
            <w:tcW w:w="1716" w:type="dxa"/>
            <w:vAlign w:val="center"/>
          </w:tcPr>
          <w:p w14:paraId="610066C6" w14:textId="62060483" w:rsidR="00CD62F5" w:rsidRPr="00DE1BD4" w:rsidRDefault="00CD62F5" w:rsidP="009800FA">
            <w:pPr>
              <w:spacing w:before="40" w:after="40"/>
              <w:jc w:val="center"/>
            </w:pPr>
          </w:p>
        </w:tc>
        <w:tc>
          <w:tcPr>
            <w:tcW w:w="1895" w:type="dxa"/>
            <w:vAlign w:val="center"/>
          </w:tcPr>
          <w:p w14:paraId="6773AA05" w14:textId="77777777" w:rsidR="00CD62F5" w:rsidRPr="00DE1BD4" w:rsidRDefault="00CD62F5" w:rsidP="009800FA">
            <w:pPr>
              <w:spacing w:before="40" w:after="40"/>
              <w:jc w:val="center"/>
            </w:pPr>
          </w:p>
        </w:tc>
        <w:tc>
          <w:tcPr>
            <w:tcW w:w="1842" w:type="dxa"/>
            <w:vAlign w:val="center"/>
          </w:tcPr>
          <w:p w14:paraId="5B4E77D4" w14:textId="679BF9A7" w:rsidR="00CD62F5" w:rsidRPr="00DE1BD4" w:rsidRDefault="00CD62F5" w:rsidP="009800FA">
            <w:pPr>
              <w:spacing w:before="40" w:after="40"/>
              <w:jc w:val="center"/>
            </w:pPr>
          </w:p>
        </w:tc>
        <w:tc>
          <w:tcPr>
            <w:tcW w:w="1571" w:type="dxa"/>
            <w:vMerge/>
            <w:vAlign w:val="center"/>
          </w:tcPr>
          <w:p w14:paraId="6C57DD13" w14:textId="77777777" w:rsidR="00CD62F5" w:rsidRPr="00DE1BD4" w:rsidRDefault="00CD62F5" w:rsidP="009800FA">
            <w:pPr>
              <w:spacing w:before="40" w:after="40"/>
              <w:jc w:val="center"/>
            </w:pPr>
          </w:p>
        </w:tc>
      </w:tr>
      <w:tr w:rsidR="00CD62F5" w:rsidRPr="00DE1BD4" w14:paraId="0EF8F201" w14:textId="77777777" w:rsidTr="009800FA">
        <w:tc>
          <w:tcPr>
            <w:tcW w:w="1804" w:type="dxa"/>
            <w:vMerge/>
          </w:tcPr>
          <w:p w14:paraId="19DE1233" w14:textId="77777777" w:rsidR="00CD62F5" w:rsidRPr="00DE1BD4" w:rsidRDefault="00CD62F5" w:rsidP="007544EB">
            <w:pPr>
              <w:spacing w:before="40" w:after="40"/>
            </w:pPr>
          </w:p>
        </w:tc>
        <w:tc>
          <w:tcPr>
            <w:tcW w:w="1716" w:type="dxa"/>
            <w:vAlign w:val="center"/>
          </w:tcPr>
          <w:p w14:paraId="776CED77" w14:textId="23E80F82" w:rsidR="00CD62F5" w:rsidRPr="00DE1BD4" w:rsidRDefault="00CD62F5" w:rsidP="009800FA">
            <w:pPr>
              <w:spacing w:before="40" w:after="40"/>
              <w:jc w:val="center"/>
            </w:pPr>
          </w:p>
        </w:tc>
        <w:tc>
          <w:tcPr>
            <w:tcW w:w="1895" w:type="dxa"/>
            <w:vAlign w:val="center"/>
          </w:tcPr>
          <w:p w14:paraId="28DEF541" w14:textId="77777777" w:rsidR="00CD62F5" w:rsidRPr="00DE1BD4" w:rsidRDefault="00CD62F5" w:rsidP="009800FA">
            <w:pPr>
              <w:spacing w:before="40" w:after="40"/>
              <w:jc w:val="center"/>
            </w:pPr>
          </w:p>
        </w:tc>
        <w:tc>
          <w:tcPr>
            <w:tcW w:w="1842" w:type="dxa"/>
            <w:vAlign w:val="center"/>
          </w:tcPr>
          <w:p w14:paraId="0C737E61" w14:textId="3E71842A" w:rsidR="00CD62F5" w:rsidRPr="00DE1BD4" w:rsidRDefault="00CD62F5" w:rsidP="009800FA">
            <w:pPr>
              <w:spacing w:before="40" w:after="40"/>
              <w:jc w:val="center"/>
            </w:pPr>
          </w:p>
        </w:tc>
        <w:tc>
          <w:tcPr>
            <w:tcW w:w="1571" w:type="dxa"/>
            <w:vMerge/>
            <w:vAlign w:val="center"/>
          </w:tcPr>
          <w:p w14:paraId="45C418D1" w14:textId="77777777" w:rsidR="00CD62F5" w:rsidRPr="00DE1BD4" w:rsidRDefault="00CD62F5" w:rsidP="009800FA">
            <w:pPr>
              <w:spacing w:before="40" w:after="40"/>
              <w:jc w:val="center"/>
            </w:pPr>
          </w:p>
        </w:tc>
      </w:tr>
      <w:tr w:rsidR="00CD62F5" w:rsidRPr="00DE1BD4" w14:paraId="555A37FC" w14:textId="77777777" w:rsidTr="009800FA">
        <w:tc>
          <w:tcPr>
            <w:tcW w:w="1804" w:type="dxa"/>
            <w:vMerge/>
          </w:tcPr>
          <w:p w14:paraId="2B00BDB3" w14:textId="77777777" w:rsidR="00CD62F5" w:rsidRPr="00DE1BD4" w:rsidRDefault="00CD62F5" w:rsidP="007544EB">
            <w:pPr>
              <w:spacing w:before="40" w:after="40"/>
            </w:pPr>
          </w:p>
        </w:tc>
        <w:tc>
          <w:tcPr>
            <w:tcW w:w="1716" w:type="dxa"/>
            <w:vAlign w:val="center"/>
          </w:tcPr>
          <w:p w14:paraId="567A4156" w14:textId="7509C47F" w:rsidR="00CD62F5" w:rsidRPr="00DE1BD4" w:rsidRDefault="00CD62F5" w:rsidP="009800FA">
            <w:pPr>
              <w:spacing w:before="40" w:after="40"/>
              <w:jc w:val="center"/>
            </w:pPr>
          </w:p>
        </w:tc>
        <w:tc>
          <w:tcPr>
            <w:tcW w:w="1895" w:type="dxa"/>
            <w:vAlign w:val="center"/>
          </w:tcPr>
          <w:p w14:paraId="2B295AC2" w14:textId="77777777" w:rsidR="00CD62F5" w:rsidRPr="00DE1BD4" w:rsidRDefault="00CD62F5" w:rsidP="009800FA">
            <w:pPr>
              <w:spacing w:before="40" w:after="40"/>
              <w:jc w:val="center"/>
            </w:pPr>
          </w:p>
        </w:tc>
        <w:tc>
          <w:tcPr>
            <w:tcW w:w="1842" w:type="dxa"/>
            <w:vAlign w:val="center"/>
          </w:tcPr>
          <w:p w14:paraId="6C8B8822" w14:textId="18A7B64F" w:rsidR="00CD62F5" w:rsidRPr="00DE1BD4" w:rsidRDefault="00CD62F5" w:rsidP="009800FA">
            <w:pPr>
              <w:spacing w:before="40" w:after="40"/>
              <w:jc w:val="center"/>
            </w:pPr>
          </w:p>
        </w:tc>
        <w:tc>
          <w:tcPr>
            <w:tcW w:w="1571" w:type="dxa"/>
            <w:vMerge/>
            <w:vAlign w:val="center"/>
          </w:tcPr>
          <w:p w14:paraId="3FF28161" w14:textId="77777777" w:rsidR="00CD62F5" w:rsidRPr="00DE1BD4" w:rsidRDefault="00CD62F5" w:rsidP="009800FA">
            <w:pPr>
              <w:spacing w:before="40" w:after="40"/>
              <w:jc w:val="center"/>
            </w:pPr>
          </w:p>
        </w:tc>
      </w:tr>
      <w:tr w:rsidR="00CD62F5" w:rsidRPr="00DE1BD4" w14:paraId="429067AB" w14:textId="77777777" w:rsidTr="009800FA">
        <w:tc>
          <w:tcPr>
            <w:tcW w:w="1804" w:type="dxa"/>
            <w:vMerge/>
          </w:tcPr>
          <w:p w14:paraId="01229EE9" w14:textId="77777777" w:rsidR="00CD62F5" w:rsidRPr="00DE1BD4" w:rsidRDefault="00CD62F5" w:rsidP="007544EB">
            <w:pPr>
              <w:spacing w:before="40" w:after="40"/>
            </w:pPr>
          </w:p>
        </w:tc>
        <w:tc>
          <w:tcPr>
            <w:tcW w:w="1716" w:type="dxa"/>
            <w:vAlign w:val="center"/>
          </w:tcPr>
          <w:p w14:paraId="2836F463" w14:textId="0A1E2BE1" w:rsidR="00CD62F5" w:rsidRPr="00DE1BD4" w:rsidRDefault="00CD62F5" w:rsidP="009800FA">
            <w:pPr>
              <w:spacing w:before="40" w:after="40"/>
              <w:jc w:val="center"/>
            </w:pPr>
          </w:p>
        </w:tc>
        <w:tc>
          <w:tcPr>
            <w:tcW w:w="1895" w:type="dxa"/>
            <w:vAlign w:val="center"/>
          </w:tcPr>
          <w:p w14:paraId="5F4A4617" w14:textId="77777777" w:rsidR="00CD62F5" w:rsidRPr="00DE1BD4" w:rsidRDefault="00CD62F5" w:rsidP="009800FA">
            <w:pPr>
              <w:spacing w:before="40" w:after="40"/>
              <w:jc w:val="center"/>
            </w:pPr>
          </w:p>
        </w:tc>
        <w:tc>
          <w:tcPr>
            <w:tcW w:w="1842" w:type="dxa"/>
            <w:vAlign w:val="center"/>
          </w:tcPr>
          <w:p w14:paraId="3F6FDAAD" w14:textId="12C42723" w:rsidR="00CD62F5" w:rsidRPr="00DE1BD4" w:rsidRDefault="00CD62F5" w:rsidP="009800FA">
            <w:pPr>
              <w:spacing w:before="40" w:after="40"/>
              <w:jc w:val="center"/>
            </w:pPr>
          </w:p>
        </w:tc>
        <w:tc>
          <w:tcPr>
            <w:tcW w:w="1571" w:type="dxa"/>
            <w:vMerge/>
            <w:vAlign w:val="center"/>
          </w:tcPr>
          <w:p w14:paraId="4124F9D0" w14:textId="77777777" w:rsidR="00CD62F5" w:rsidRPr="00DE1BD4" w:rsidRDefault="00CD62F5" w:rsidP="009800FA">
            <w:pPr>
              <w:spacing w:before="40" w:after="40"/>
              <w:jc w:val="center"/>
            </w:pPr>
          </w:p>
        </w:tc>
      </w:tr>
      <w:tr w:rsidR="00FB75EB" w:rsidRPr="00DE1BD4" w14:paraId="0A27CC9C" w14:textId="77777777" w:rsidTr="00FB75EB">
        <w:tc>
          <w:tcPr>
            <w:tcW w:w="1804" w:type="dxa"/>
            <w:vMerge w:val="restart"/>
            <w:vAlign w:val="center"/>
          </w:tcPr>
          <w:p w14:paraId="08A21128" w14:textId="6A6DBF06" w:rsidR="00FB75EB" w:rsidRPr="00DE1BD4" w:rsidRDefault="00FB75EB" w:rsidP="00FB75EB">
            <w:pPr>
              <w:spacing w:before="40" w:after="40"/>
              <w:jc w:val="left"/>
            </w:pPr>
          </w:p>
        </w:tc>
        <w:tc>
          <w:tcPr>
            <w:tcW w:w="1716" w:type="dxa"/>
            <w:vAlign w:val="center"/>
          </w:tcPr>
          <w:p w14:paraId="4C78EE4B" w14:textId="71627D4C" w:rsidR="00FB75EB" w:rsidRPr="00DE1BD4" w:rsidRDefault="00FB75EB" w:rsidP="009800FA">
            <w:pPr>
              <w:spacing w:before="40" w:after="40"/>
              <w:jc w:val="center"/>
            </w:pPr>
          </w:p>
        </w:tc>
        <w:tc>
          <w:tcPr>
            <w:tcW w:w="1895" w:type="dxa"/>
            <w:vAlign w:val="center"/>
          </w:tcPr>
          <w:p w14:paraId="565A8704" w14:textId="77777777" w:rsidR="00FB75EB" w:rsidRPr="00DE1BD4" w:rsidRDefault="00FB75EB" w:rsidP="009800FA">
            <w:pPr>
              <w:spacing w:before="40" w:after="40"/>
              <w:jc w:val="center"/>
            </w:pPr>
          </w:p>
        </w:tc>
        <w:tc>
          <w:tcPr>
            <w:tcW w:w="1842" w:type="dxa"/>
            <w:vAlign w:val="center"/>
          </w:tcPr>
          <w:p w14:paraId="69FA8123" w14:textId="2D7EB7EB" w:rsidR="00FB75EB" w:rsidRPr="00DE1BD4" w:rsidRDefault="00FB75EB" w:rsidP="009800FA">
            <w:pPr>
              <w:spacing w:before="40" w:after="40"/>
              <w:jc w:val="center"/>
            </w:pPr>
          </w:p>
        </w:tc>
        <w:tc>
          <w:tcPr>
            <w:tcW w:w="1571" w:type="dxa"/>
            <w:vMerge w:val="restart"/>
            <w:vAlign w:val="center"/>
          </w:tcPr>
          <w:p w14:paraId="4A391001" w14:textId="42861920" w:rsidR="00FB75EB" w:rsidRPr="00DE1BD4" w:rsidRDefault="00FB75EB" w:rsidP="00B971C6">
            <w:pPr>
              <w:spacing w:before="40" w:after="40"/>
              <w:jc w:val="center"/>
            </w:pPr>
          </w:p>
        </w:tc>
      </w:tr>
      <w:tr w:rsidR="00FB75EB" w:rsidRPr="00DE1BD4" w14:paraId="0A0095EA" w14:textId="77777777" w:rsidTr="00B971C6">
        <w:tc>
          <w:tcPr>
            <w:tcW w:w="1804" w:type="dxa"/>
            <w:vMerge/>
          </w:tcPr>
          <w:p w14:paraId="33E132C5" w14:textId="77777777" w:rsidR="00FB75EB" w:rsidRPr="00DE1BD4" w:rsidRDefault="00FB75EB" w:rsidP="007544EB">
            <w:pPr>
              <w:spacing w:before="40" w:after="40"/>
            </w:pPr>
          </w:p>
        </w:tc>
        <w:tc>
          <w:tcPr>
            <w:tcW w:w="1716" w:type="dxa"/>
            <w:vAlign w:val="center"/>
          </w:tcPr>
          <w:p w14:paraId="61658EF3" w14:textId="12D6B02E" w:rsidR="00FB75EB" w:rsidRPr="00DE1BD4" w:rsidRDefault="00FB75EB" w:rsidP="009800FA">
            <w:pPr>
              <w:spacing w:before="40" w:after="40"/>
              <w:jc w:val="center"/>
            </w:pPr>
          </w:p>
        </w:tc>
        <w:tc>
          <w:tcPr>
            <w:tcW w:w="1895" w:type="dxa"/>
            <w:vAlign w:val="center"/>
          </w:tcPr>
          <w:p w14:paraId="1029E2E3" w14:textId="672B7C58" w:rsidR="00FB75EB" w:rsidRPr="00DE1BD4" w:rsidRDefault="00FB75EB" w:rsidP="009800FA">
            <w:pPr>
              <w:spacing w:before="40" w:after="40"/>
              <w:jc w:val="center"/>
            </w:pPr>
          </w:p>
        </w:tc>
        <w:tc>
          <w:tcPr>
            <w:tcW w:w="1842" w:type="dxa"/>
            <w:vAlign w:val="center"/>
          </w:tcPr>
          <w:p w14:paraId="31F1D371" w14:textId="0F46311C" w:rsidR="00FB75EB" w:rsidRPr="00DE1BD4" w:rsidRDefault="00FB75EB" w:rsidP="009800FA">
            <w:pPr>
              <w:spacing w:before="40" w:after="40"/>
              <w:jc w:val="center"/>
            </w:pPr>
          </w:p>
        </w:tc>
        <w:tc>
          <w:tcPr>
            <w:tcW w:w="1571" w:type="dxa"/>
            <w:vMerge/>
            <w:vAlign w:val="center"/>
          </w:tcPr>
          <w:p w14:paraId="254959A3" w14:textId="77777777" w:rsidR="00FB75EB" w:rsidRPr="00DE1BD4" w:rsidRDefault="00FB75EB" w:rsidP="00B971C6">
            <w:pPr>
              <w:spacing w:before="40" w:after="40"/>
              <w:jc w:val="center"/>
            </w:pPr>
          </w:p>
        </w:tc>
      </w:tr>
      <w:tr w:rsidR="00FB75EB" w:rsidRPr="00DE1BD4" w14:paraId="669B48A8" w14:textId="77777777" w:rsidTr="00B971C6">
        <w:tc>
          <w:tcPr>
            <w:tcW w:w="1804" w:type="dxa"/>
            <w:vMerge/>
          </w:tcPr>
          <w:p w14:paraId="4928B31A" w14:textId="77777777" w:rsidR="00FB75EB" w:rsidRPr="00DE1BD4" w:rsidRDefault="00FB75EB" w:rsidP="007544EB">
            <w:pPr>
              <w:spacing w:before="40" w:after="40"/>
            </w:pPr>
          </w:p>
        </w:tc>
        <w:tc>
          <w:tcPr>
            <w:tcW w:w="1716" w:type="dxa"/>
            <w:vAlign w:val="center"/>
          </w:tcPr>
          <w:p w14:paraId="396BD14D" w14:textId="7311B8D1" w:rsidR="00FB75EB" w:rsidRPr="00DE1BD4" w:rsidRDefault="00FB75EB" w:rsidP="009800FA">
            <w:pPr>
              <w:spacing w:before="40" w:after="40"/>
              <w:jc w:val="center"/>
            </w:pPr>
          </w:p>
        </w:tc>
        <w:tc>
          <w:tcPr>
            <w:tcW w:w="1895" w:type="dxa"/>
            <w:vAlign w:val="center"/>
          </w:tcPr>
          <w:p w14:paraId="7849542E" w14:textId="77777777" w:rsidR="00FB75EB" w:rsidRPr="00DE1BD4" w:rsidRDefault="00FB75EB" w:rsidP="009800FA">
            <w:pPr>
              <w:spacing w:before="40" w:after="40"/>
              <w:jc w:val="center"/>
            </w:pPr>
          </w:p>
        </w:tc>
        <w:tc>
          <w:tcPr>
            <w:tcW w:w="1842" w:type="dxa"/>
            <w:vAlign w:val="center"/>
          </w:tcPr>
          <w:p w14:paraId="302F676A" w14:textId="5131803E" w:rsidR="00FB75EB" w:rsidRPr="00DE1BD4" w:rsidRDefault="00FB75EB" w:rsidP="009800FA">
            <w:pPr>
              <w:spacing w:before="40" w:after="40"/>
              <w:jc w:val="center"/>
            </w:pPr>
          </w:p>
        </w:tc>
        <w:tc>
          <w:tcPr>
            <w:tcW w:w="1571" w:type="dxa"/>
            <w:vMerge/>
            <w:vAlign w:val="center"/>
          </w:tcPr>
          <w:p w14:paraId="259F2D58" w14:textId="77777777" w:rsidR="00FB75EB" w:rsidRPr="00DE1BD4" w:rsidRDefault="00FB75EB" w:rsidP="00B971C6">
            <w:pPr>
              <w:spacing w:before="40" w:after="40"/>
              <w:jc w:val="center"/>
            </w:pPr>
          </w:p>
        </w:tc>
      </w:tr>
      <w:tr w:rsidR="00FB75EB" w:rsidRPr="00DE1BD4" w14:paraId="2B8A26A3" w14:textId="77777777" w:rsidTr="00B971C6">
        <w:tc>
          <w:tcPr>
            <w:tcW w:w="1804" w:type="dxa"/>
            <w:vMerge/>
          </w:tcPr>
          <w:p w14:paraId="6F88E88D" w14:textId="77777777" w:rsidR="00FB75EB" w:rsidRPr="00DE1BD4" w:rsidRDefault="00FB75EB" w:rsidP="007544EB">
            <w:pPr>
              <w:spacing w:before="40" w:after="40"/>
            </w:pPr>
          </w:p>
        </w:tc>
        <w:tc>
          <w:tcPr>
            <w:tcW w:w="1716" w:type="dxa"/>
            <w:vAlign w:val="center"/>
          </w:tcPr>
          <w:p w14:paraId="724E6B38" w14:textId="40812F1F" w:rsidR="00FB75EB" w:rsidRPr="00DE1BD4" w:rsidRDefault="00FB75EB" w:rsidP="009800FA">
            <w:pPr>
              <w:spacing w:before="40" w:after="40"/>
              <w:jc w:val="center"/>
            </w:pPr>
          </w:p>
        </w:tc>
        <w:tc>
          <w:tcPr>
            <w:tcW w:w="1895" w:type="dxa"/>
            <w:vAlign w:val="center"/>
          </w:tcPr>
          <w:p w14:paraId="4574493E" w14:textId="77777777" w:rsidR="00FB75EB" w:rsidRPr="00DE1BD4" w:rsidRDefault="00FB75EB" w:rsidP="009800FA">
            <w:pPr>
              <w:spacing w:before="40" w:after="40"/>
              <w:jc w:val="center"/>
            </w:pPr>
          </w:p>
        </w:tc>
        <w:tc>
          <w:tcPr>
            <w:tcW w:w="1842" w:type="dxa"/>
            <w:vAlign w:val="center"/>
          </w:tcPr>
          <w:p w14:paraId="192A99C8" w14:textId="09EC1228" w:rsidR="00FB75EB" w:rsidRPr="00DE1BD4" w:rsidRDefault="00FB75EB" w:rsidP="009800FA">
            <w:pPr>
              <w:spacing w:before="40" w:after="40"/>
              <w:jc w:val="center"/>
            </w:pPr>
          </w:p>
        </w:tc>
        <w:tc>
          <w:tcPr>
            <w:tcW w:w="1571" w:type="dxa"/>
            <w:vMerge/>
            <w:vAlign w:val="center"/>
          </w:tcPr>
          <w:p w14:paraId="125A415C" w14:textId="77777777" w:rsidR="00FB75EB" w:rsidRPr="00DE1BD4" w:rsidRDefault="00FB75EB" w:rsidP="00B971C6">
            <w:pPr>
              <w:spacing w:before="40" w:after="40"/>
              <w:jc w:val="center"/>
            </w:pPr>
          </w:p>
        </w:tc>
      </w:tr>
      <w:tr w:rsidR="00FB75EB" w:rsidRPr="00DE1BD4" w14:paraId="5229A953" w14:textId="77777777" w:rsidTr="00B971C6">
        <w:tc>
          <w:tcPr>
            <w:tcW w:w="1804" w:type="dxa"/>
            <w:vMerge/>
          </w:tcPr>
          <w:p w14:paraId="1CEC5A2B" w14:textId="77777777" w:rsidR="00FB75EB" w:rsidRPr="00DE1BD4" w:rsidRDefault="00FB75EB" w:rsidP="007544EB">
            <w:pPr>
              <w:spacing w:before="40" w:after="40"/>
            </w:pPr>
          </w:p>
        </w:tc>
        <w:tc>
          <w:tcPr>
            <w:tcW w:w="1716" w:type="dxa"/>
            <w:vAlign w:val="center"/>
          </w:tcPr>
          <w:p w14:paraId="324BF392" w14:textId="1CC8FF41" w:rsidR="00FB75EB" w:rsidRPr="00DE1BD4" w:rsidRDefault="00FB75EB" w:rsidP="009800FA">
            <w:pPr>
              <w:spacing w:before="40" w:after="40"/>
              <w:jc w:val="center"/>
            </w:pPr>
          </w:p>
        </w:tc>
        <w:tc>
          <w:tcPr>
            <w:tcW w:w="1895" w:type="dxa"/>
            <w:vAlign w:val="center"/>
          </w:tcPr>
          <w:p w14:paraId="26CBFA9D" w14:textId="77777777" w:rsidR="00FB75EB" w:rsidRPr="00DE1BD4" w:rsidRDefault="00FB75EB" w:rsidP="009800FA">
            <w:pPr>
              <w:spacing w:before="40" w:after="40"/>
              <w:jc w:val="center"/>
            </w:pPr>
          </w:p>
        </w:tc>
        <w:tc>
          <w:tcPr>
            <w:tcW w:w="1842" w:type="dxa"/>
            <w:vAlign w:val="center"/>
          </w:tcPr>
          <w:p w14:paraId="7A5A12F4" w14:textId="36F980A5" w:rsidR="00FB75EB" w:rsidRPr="00DE1BD4" w:rsidRDefault="00FB75EB" w:rsidP="009800FA">
            <w:pPr>
              <w:spacing w:before="40" w:after="40"/>
              <w:jc w:val="center"/>
            </w:pPr>
          </w:p>
        </w:tc>
        <w:tc>
          <w:tcPr>
            <w:tcW w:w="1571" w:type="dxa"/>
            <w:vMerge/>
            <w:vAlign w:val="center"/>
          </w:tcPr>
          <w:p w14:paraId="6C960423" w14:textId="77777777" w:rsidR="00FB75EB" w:rsidRPr="00DE1BD4" w:rsidRDefault="00FB75EB" w:rsidP="00B971C6">
            <w:pPr>
              <w:spacing w:before="40" w:after="40"/>
              <w:jc w:val="center"/>
            </w:pPr>
          </w:p>
        </w:tc>
      </w:tr>
    </w:tbl>
    <w:p w14:paraId="7AEB59CE" w14:textId="77777777" w:rsidR="005A7630" w:rsidRPr="00DE1BD4" w:rsidRDefault="005A7630" w:rsidP="005A7630"/>
    <w:p w14:paraId="31E120C8" w14:textId="77777777" w:rsidR="005A7630" w:rsidRPr="00DE1BD4" w:rsidRDefault="005A7630" w:rsidP="0024297A">
      <w:pPr>
        <w:pStyle w:val="Heading4"/>
        <w:numPr>
          <w:ilvl w:val="0"/>
          <w:numId w:val="0"/>
        </w:numPr>
      </w:pPr>
      <w:r w:rsidRPr="00DE1BD4">
        <w:t>Television broadcasting</w:t>
      </w:r>
    </w:p>
    <w:p w14:paraId="24B376B1" w14:textId="77777777" w:rsidR="005A7630" w:rsidRPr="00DE1BD4" w:rsidRDefault="005A7630" w:rsidP="005A7630"/>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716"/>
        <w:gridCol w:w="1895"/>
        <w:gridCol w:w="1842"/>
        <w:gridCol w:w="1571"/>
      </w:tblGrid>
      <w:tr w:rsidR="005A7630" w:rsidRPr="00DE1BD4" w14:paraId="2AE56F4D" w14:textId="77777777" w:rsidTr="00D149AA">
        <w:tc>
          <w:tcPr>
            <w:tcW w:w="1804" w:type="dxa"/>
          </w:tcPr>
          <w:p w14:paraId="13DD3C92" w14:textId="77777777" w:rsidR="005A7630" w:rsidRPr="00DE1BD4" w:rsidRDefault="005A7630" w:rsidP="007544EB">
            <w:pPr>
              <w:spacing w:before="40" w:after="40"/>
              <w:jc w:val="center"/>
              <w:rPr>
                <w:b/>
                <w:bCs/>
              </w:rPr>
            </w:pPr>
            <w:r w:rsidRPr="00DE1BD4">
              <w:rPr>
                <w:b/>
                <w:bCs/>
              </w:rPr>
              <w:t>Company</w:t>
            </w:r>
          </w:p>
        </w:tc>
        <w:tc>
          <w:tcPr>
            <w:tcW w:w="1716" w:type="dxa"/>
          </w:tcPr>
          <w:p w14:paraId="29695F78" w14:textId="77777777" w:rsidR="005A7630" w:rsidRPr="00DE1BD4" w:rsidRDefault="005A7630" w:rsidP="007544EB">
            <w:pPr>
              <w:spacing w:before="40" w:after="40"/>
              <w:jc w:val="center"/>
              <w:rPr>
                <w:b/>
                <w:bCs/>
              </w:rPr>
            </w:pPr>
            <w:r w:rsidRPr="00DE1BD4">
              <w:rPr>
                <w:b/>
                <w:bCs/>
              </w:rPr>
              <w:t>Station Name</w:t>
            </w:r>
          </w:p>
        </w:tc>
        <w:tc>
          <w:tcPr>
            <w:tcW w:w="1895" w:type="dxa"/>
          </w:tcPr>
          <w:p w14:paraId="4A803B6F" w14:textId="77777777" w:rsidR="005A7630" w:rsidRPr="00DE1BD4" w:rsidRDefault="005A7630" w:rsidP="007544EB">
            <w:pPr>
              <w:spacing w:before="40" w:after="40"/>
              <w:jc w:val="center"/>
              <w:rPr>
                <w:b/>
                <w:bCs/>
              </w:rPr>
            </w:pPr>
            <w:r w:rsidRPr="00DE1BD4">
              <w:rPr>
                <w:b/>
                <w:bCs/>
              </w:rPr>
              <w:t>Transmitter Location (address)</w:t>
            </w:r>
          </w:p>
        </w:tc>
        <w:tc>
          <w:tcPr>
            <w:tcW w:w="1842" w:type="dxa"/>
          </w:tcPr>
          <w:p w14:paraId="3474FE0C" w14:textId="77777777" w:rsidR="005A7630" w:rsidRPr="00DE1BD4" w:rsidRDefault="005A7630" w:rsidP="007544EB">
            <w:pPr>
              <w:spacing w:before="40" w:after="40"/>
              <w:jc w:val="center"/>
              <w:rPr>
                <w:b/>
                <w:bCs/>
              </w:rPr>
            </w:pPr>
            <w:r w:rsidRPr="00DE1BD4">
              <w:rPr>
                <w:b/>
                <w:bCs/>
              </w:rPr>
              <w:t>Frequency</w:t>
            </w:r>
          </w:p>
        </w:tc>
        <w:tc>
          <w:tcPr>
            <w:tcW w:w="1571" w:type="dxa"/>
          </w:tcPr>
          <w:p w14:paraId="0742DB58" w14:textId="77777777" w:rsidR="005A7630" w:rsidRPr="00DE1BD4" w:rsidRDefault="005A7630" w:rsidP="007544EB">
            <w:pPr>
              <w:spacing w:before="40" w:after="40"/>
              <w:jc w:val="center"/>
              <w:rPr>
                <w:b/>
                <w:bCs/>
              </w:rPr>
            </w:pPr>
            <w:r w:rsidRPr="00DE1BD4">
              <w:rPr>
                <w:b/>
                <w:bCs/>
              </w:rPr>
              <w:t>Coverage (localities)</w:t>
            </w:r>
          </w:p>
        </w:tc>
      </w:tr>
      <w:tr w:rsidR="00B52A26" w:rsidRPr="00DE1BD4" w14:paraId="419722AC" w14:textId="77777777" w:rsidTr="00B52A26">
        <w:tc>
          <w:tcPr>
            <w:tcW w:w="1804" w:type="dxa"/>
            <w:vMerge w:val="restart"/>
            <w:vAlign w:val="center"/>
          </w:tcPr>
          <w:p w14:paraId="3EEB9685" w14:textId="500C335E" w:rsidR="00B52A26" w:rsidRPr="00DE1BD4" w:rsidRDefault="00B52A26" w:rsidP="00B52A26">
            <w:pPr>
              <w:spacing w:before="40" w:after="40"/>
              <w:jc w:val="left"/>
            </w:pPr>
          </w:p>
        </w:tc>
        <w:tc>
          <w:tcPr>
            <w:tcW w:w="1716" w:type="dxa"/>
            <w:vAlign w:val="center"/>
          </w:tcPr>
          <w:p w14:paraId="6EFA32F9" w14:textId="2007386B" w:rsidR="00B52A26" w:rsidRPr="00DE1BD4" w:rsidRDefault="00B52A26" w:rsidP="00B52A26">
            <w:pPr>
              <w:spacing w:before="40" w:after="40"/>
              <w:jc w:val="center"/>
            </w:pPr>
          </w:p>
        </w:tc>
        <w:tc>
          <w:tcPr>
            <w:tcW w:w="1895" w:type="dxa"/>
            <w:vAlign w:val="center"/>
          </w:tcPr>
          <w:p w14:paraId="0F825F50" w14:textId="0623A1EA" w:rsidR="00B52A26" w:rsidRPr="00DE1BD4" w:rsidRDefault="00B52A26" w:rsidP="00B52A26">
            <w:pPr>
              <w:spacing w:before="40" w:after="40"/>
              <w:jc w:val="center"/>
            </w:pPr>
          </w:p>
        </w:tc>
        <w:tc>
          <w:tcPr>
            <w:tcW w:w="1842" w:type="dxa"/>
            <w:vAlign w:val="center"/>
          </w:tcPr>
          <w:p w14:paraId="178F466C" w14:textId="77777777" w:rsidR="00B52A26" w:rsidRPr="00DE1BD4" w:rsidRDefault="00B52A26" w:rsidP="00B52A26">
            <w:pPr>
              <w:spacing w:before="40" w:after="40"/>
              <w:jc w:val="center"/>
            </w:pPr>
          </w:p>
        </w:tc>
        <w:tc>
          <w:tcPr>
            <w:tcW w:w="1571" w:type="dxa"/>
            <w:vAlign w:val="center"/>
          </w:tcPr>
          <w:p w14:paraId="6E8D6636" w14:textId="2F5FB807" w:rsidR="00B52A26" w:rsidRPr="00DE1BD4" w:rsidRDefault="00B52A26" w:rsidP="00B52A26">
            <w:pPr>
              <w:spacing w:before="40" w:after="40"/>
              <w:jc w:val="center"/>
            </w:pPr>
          </w:p>
        </w:tc>
      </w:tr>
      <w:tr w:rsidR="00B52A26" w:rsidRPr="00DE1BD4" w14:paraId="7769162B" w14:textId="77777777" w:rsidTr="00B52A26">
        <w:tc>
          <w:tcPr>
            <w:tcW w:w="1804" w:type="dxa"/>
            <w:vMerge/>
          </w:tcPr>
          <w:p w14:paraId="5E1A0077" w14:textId="77777777" w:rsidR="00B52A26" w:rsidRPr="00DE1BD4" w:rsidRDefault="00B52A26" w:rsidP="007544EB">
            <w:pPr>
              <w:spacing w:before="40" w:after="40"/>
            </w:pPr>
          </w:p>
        </w:tc>
        <w:tc>
          <w:tcPr>
            <w:tcW w:w="1716" w:type="dxa"/>
            <w:vAlign w:val="center"/>
          </w:tcPr>
          <w:p w14:paraId="2690C939" w14:textId="5B9C7A7C" w:rsidR="00B52A26" w:rsidRPr="00DE1BD4" w:rsidRDefault="00B52A26" w:rsidP="00B52A26">
            <w:pPr>
              <w:spacing w:before="40" w:after="40"/>
              <w:jc w:val="center"/>
            </w:pPr>
          </w:p>
        </w:tc>
        <w:tc>
          <w:tcPr>
            <w:tcW w:w="1895" w:type="dxa"/>
            <w:vAlign w:val="center"/>
          </w:tcPr>
          <w:p w14:paraId="1B844A14" w14:textId="7F1B7676" w:rsidR="00B52A26" w:rsidRPr="00DE1BD4" w:rsidRDefault="00B52A26" w:rsidP="00B52A26">
            <w:pPr>
              <w:spacing w:before="40" w:after="40"/>
              <w:jc w:val="center"/>
            </w:pPr>
          </w:p>
        </w:tc>
        <w:tc>
          <w:tcPr>
            <w:tcW w:w="1842" w:type="dxa"/>
            <w:vAlign w:val="center"/>
          </w:tcPr>
          <w:p w14:paraId="3D1AA7D9" w14:textId="77777777" w:rsidR="00B52A26" w:rsidRPr="00DE1BD4" w:rsidRDefault="00B52A26" w:rsidP="00B52A26">
            <w:pPr>
              <w:spacing w:before="40" w:after="40"/>
              <w:jc w:val="center"/>
            </w:pPr>
          </w:p>
        </w:tc>
        <w:tc>
          <w:tcPr>
            <w:tcW w:w="1571" w:type="dxa"/>
            <w:vAlign w:val="center"/>
          </w:tcPr>
          <w:p w14:paraId="42A60DB8" w14:textId="0C4C69E1" w:rsidR="00B52A26" w:rsidRPr="00DE1BD4" w:rsidRDefault="00B52A26" w:rsidP="00B52A26">
            <w:pPr>
              <w:spacing w:before="40" w:after="40"/>
              <w:jc w:val="center"/>
            </w:pPr>
          </w:p>
        </w:tc>
      </w:tr>
      <w:tr w:rsidR="00B52A26" w:rsidRPr="00DE1BD4" w14:paraId="27DB3D77" w14:textId="77777777" w:rsidTr="00B52A26">
        <w:tc>
          <w:tcPr>
            <w:tcW w:w="1804" w:type="dxa"/>
            <w:vMerge/>
          </w:tcPr>
          <w:p w14:paraId="748147C0" w14:textId="77777777" w:rsidR="00B52A26" w:rsidRPr="00DE1BD4" w:rsidRDefault="00B52A26" w:rsidP="007544EB">
            <w:pPr>
              <w:spacing w:before="40" w:after="40"/>
            </w:pPr>
          </w:p>
        </w:tc>
        <w:tc>
          <w:tcPr>
            <w:tcW w:w="1716" w:type="dxa"/>
            <w:vAlign w:val="center"/>
          </w:tcPr>
          <w:p w14:paraId="1EAA9094" w14:textId="58C26FE1" w:rsidR="00B52A26" w:rsidRPr="00DE1BD4" w:rsidRDefault="00B52A26" w:rsidP="00B52A26">
            <w:pPr>
              <w:spacing w:before="40" w:after="40"/>
              <w:jc w:val="center"/>
            </w:pPr>
          </w:p>
        </w:tc>
        <w:tc>
          <w:tcPr>
            <w:tcW w:w="1895" w:type="dxa"/>
            <w:vAlign w:val="center"/>
          </w:tcPr>
          <w:p w14:paraId="1079531D" w14:textId="77777777" w:rsidR="00B52A26" w:rsidRPr="00DE1BD4" w:rsidRDefault="00B52A26" w:rsidP="00B52A26">
            <w:pPr>
              <w:spacing w:before="40" w:after="40"/>
              <w:jc w:val="center"/>
            </w:pPr>
          </w:p>
        </w:tc>
        <w:tc>
          <w:tcPr>
            <w:tcW w:w="1842" w:type="dxa"/>
            <w:vAlign w:val="center"/>
          </w:tcPr>
          <w:p w14:paraId="19762EBE" w14:textId="77777777" w:rsidR="00B52A26" w:rsidRPr="00DE1BD4" w:rsidRDefault="00B52A26" w:rsidP="00B52A26">
            <w:pPr>
              <w:spacing w:before="40" w:after="40"/>
              <w:jc w:val="center"/>
            </w:pPr>
          </w:p>
        </w:tc>
        <w:tc>
          <w:tcPr>
            <w:tcW w:w="1571" w:type="dxa"/>
            <w:vAlign w:val="center"/>
          </w:tcPr>
          <w:p w14:paraId="65EBF322" w14:textId="463ACC75" w:rsidR="00B52A26" w:rsidRPr="00DE1BD4" w:rsidRDefault="00B52A26" w:rsidP="00B52A26">
            <w:pPr>
              <w:spacing w:before="40" w:after="40"/>
              <w:jc w:val="center"/>
            </w:pPr>
          </w:p>
        </w:tc>
      </w:tr>
      <w:tr w:rsidR="00B52A26" w:rsidRPr="00DE1BD4" w14:paraId="4B3D0584" w14:textId="77777777" w:rsidTr="00B52A26">
        <w:tc>
          <w:tcPr>
            <w:tcW w:w="1804" w:type="dxa"/>
            <w:vMerge w:val="restart"/>
            <w:vAlign w:val="center"/>
          </w:tcPr>
          <w:p w14:paraId="58C736D5" w14:textId="4AADFC2F" w:rsidR="00B52A26" w:rsidRPr="00DE1BD4" w:rsidRDefault="00B52A26" w:rsidP="00B52A26">
            <w:pPr>
              <w:spacing w:before="40" w:after="40"/>
              <w:jc w:val="left"/>
            </w:pPr>
          </w:p>
        </w:tc>
        <w:tc>
          <w:tcPr>
            <w:tcW w:w="1716" w:type="dxa"/>
            <w:vAlign w:val="center"/>
          </w:tcPr>
          <w:p w14:paraId="6D8F7E0A" w14:textId="7662E311" w:rsidR="00B52A26" w:rsidRPr="00DE1BD4" w:rsidRDefault="00B52A26" w:rsidP="00B52A26">
            <w:pPr>
              <w:spacing w:before="40" w:after="40"/>
              <w:jc w:val="center"/>
            </w:pPr>
          </w:p>
        </w:tc>
        <w:tc>
          <w:tcPr>
            <w:tcW w:w="1895" w:type="dxa"/>
            <w:vAlign w:val="center"/>
          </w:tcPr>
          <w:p w14:paraId="34E33EB8" w14:textId="77777777" w:rsidR="00B52A26" w:rsidRPr="00DE1BD4" w:rsidRDefault="00B52A26" w:rsidP="00B52A26">
            <w:pPr>
              <w:spacing w:before="40" w:after="40"/>
              <w:jc w:val="center"/>
            </w:pPr>
          </w:p>
        </w:tc>
        <w:tc>
          <w:tcPr>
            <w:tcW w:w="1842" w:type="dxa"/>
            <w:vAlign w:val="center"/>
          </w:tcPr>
          <w:p w14:paraId="0CE9E0B4" w14:textId="77777777" w:rsidR="00B52A26" w:rsidRPr="00DE1BD4" w:rsidRDefault="00B52A26" w:rsidP="00B52A26">
            <w:pPr>
              <w:spacing w:before="40" w:after="40"/>
              <w:jc w:val="center"/>
            </w:pPr>
          </w:p>
        </w:tc>
        <w:tc>
          <w:tcPr>
            <w:tcW w:w="1571" w:type="dxa"/>
            <w:vAlign w:val="center"/>
          </w:tcPr>
          <w:p w14:paraId="035E144A" w14:textId="364B009A" w:rsidR="00B52A26" w:rsidRPr="00DE1BD4" w:rsidRDefault="00B52A26" w:rsidP="00B52A26">
            <w:pPr>
              <w:spacing w:before="40" w:after="40"/>
              <w:jc w:val="center"/>
            </w:pPr>
          </w:p>
        </w:tc>
      </w:tr>
      <w:tr w:rsidR="00B52A26" w:rsidRPr="00DE1BD4" w14:paraId="1C61C3A3" w14:textId="77777777" w:rsidTr="00B52A26">
        <w:tc>
          <w:tcPr>
            <w:tcW w:w="1804" w:type="dxa"/>
            <w:vMerge/>
          </w:tcPr>
          <w:p w14:paraId="1C62E6CC" w14:textId="77777777" w:rsidR="00B52A26" w:rsidRPr="00DE1BD4" w:rsidRDefault="00B52A26" w:rsidP="007544EB">
            <w:pPr>
              <w:spacing w:before="40" w:after="40"/>
            </w:pPr>
          </w:p>
        </w:tc>
        <w:tc>
          <w:tcPr>
            <w:tcW w:w="1716" w:type="dxa"/>
            <w:vAlign w:val="center"/>
          </w:tcPr>
          <w:p w14:paraId="193CD3E3" w14:textId="00EDFB68" w:rsidR="00B52A26" w:rsidRPr="00DE1BD4" w:rsidRDefault="00B52A26" w:rsidP="00B52A26">
            <w:pPr>
              <w:spacing w:before="40" w:after="40"/>
              <w:jc w:val="center"/>
            </w:pPr>
          </w:p>
        </w:tc>
        <w:tc>
          <w:tcPr>
            <w:tcW w:w="1895" w:type="dxa"/>
            <w:vAlign w:val="center"/>
          </w:tcPr>
          <w:p w14:paraId="4D9972A5" w14:textId="77777777" w:rsidR="00B52A26" w:rsidRPr="00DE1BD4" w:rsidRDefault="00B52A26" w:rsidP="00B52A26">
            <w:pPr>
              <w:spacing w:before="40" w:after="40"/>
              <w:jc w:val="center"/>
            </w:pPr>
          </w:p>
        </w:tc>
        <w:tc>
          <w:tcPr>
            <w:tcW w:w="1842" w:type="dxa"/>
            <w:vAlign w:val="center"/>
          </w:tcPr>
          <w:p w14:paraId="12D01337" w14:textId="77777777" w:rsidR="00B52A26" w:rsidRPr="00DE1BD4" w:rsidRDefault="00B52A26" w:rsidP="00B52A26">
            <w:pPr>
              <w:spacing w:before="40" w:after="40"/>
              <w:jc w:val="center"/>
            </w:pPr>
          </w:p>
        </w:tc>
        <w:tc>
          <w:tcPr>
            <w:tcW w:w="1571" w:type="dxa"/>
            <w:vAlign w:val="center"/>
          </w:tcPr>
          <w:p w14:paraId="537DCE57" w14:textId="0FB07E67" w:rsidR="00B52A26" w:rsidRPr="00DE1BD4" w:rsidRDefault="00B52A26" w:rsidP="00B52A26">
            <w:pPr>
              <w:spacing w:before="40" w:after="40"/>
              <w:jc w:val="center"/>
            </w:pPr>
          </w:p>
        </w:tc>
      </w:tr>
      <w:tr w:rsidR="006D70C4" w:rsidRPr="00DE1BD4" w14:paraId="552CBCB2" w14:textId="77777777" w:rsidTr="00B52A26">
        <w:tc>
          <w:tcPr>
            <w:tcW w:w="1804" w:type="dxa"/>
          </w:tcPr>
          <w:p w14:paraId="5CDD937A" w14:textId="575CA4AB" w:rsidR="006D70C4" w:rsidRPr="00DE1BD4" w:rsidRDefault="006D70C4" w:rsidP="007544EB">
            <w:pPr>
              <w:spacing w:before="40" w:after="40"/>
            </w:pPr>
          </w:p>
        </w:tc>
        <w:tc>
          <w:tcPr>
            <w:tcW w:w="1716" w:type="dxa"/>
            <w:vAlign w:val="center"/>
          </w:tcPr>
          <w:p w14:paraId="3B6F96DF" w14:textId="77777777" w:rsidR="006D70C4" w:rsidRPr="00DE1BD4" w:rsidRDefault="006D70C4" w:rsidP="00B52A26">
            <w:pPr>
              <w:spacing w:before="40" w:after="40"/>
              <w:jc w:val="center"/>
            </w:pPr>
          </w:p>
        </w:tc>
        <w:tc>
          <w:tcPr>
            <w:tcW w:w="1895" w:type="dxa"/>
            <w:vAlign w:val="center"/>
          </w:tcPr>
          <w:p w14:paraId="42FBC3E6" w14:textId="77777777" w:rsidR="006D70C4" w:rsidRPr="00DE1BD4" w:rsidRDefault="006D70C4" w:rsidP="00B52A26">
            <w:pPr>
              <w:spacing w:before="40" w:after="40"/>
              <w:jc w:val="center"/>
            </w:pPr>
          </w:p>
        </w:tc>
        <w:tc>
          <w:tcPr>
            <w:tcW w:w="1842" w:type="dxa"/>
            <w:vAlign w:val="center"/>
          </w:tcPr>
          <w:p w14:paraId="4F97350E" w14:textId="77777777" w:rsidR="006D70C4" w:rsidRPr="00DE1BD4" w:rsidRDefault="006D70C4" w:rsidP="00B52A26">
            <w:pPr>
              <w:spacing w:before="40" w:after="40"/>
              <w:jc w:val="center"/>
            </w:pPr>
          </w:p>
        </w:tc>
        <w:tc>
          <w:tcPr>
            <w:tcW w:w="1571" w:type="dxa"/>
            <w:vAlign w:val="center"/>
          </w:tcPr>
          <w:p w14:paraId="76DB4681" w14:textId="44D26AEB" w:rsidR="006D70C4" w:rsidRPr="00DE1BD4" w:rsidRDefault="006D70C4" w:rsidP="00B52A26">
            <w:pPr>
              <w:spacing w:before="40" w:after="40"/>
              <w:jc w:val="center"/>
            </w:pPr>
          </w:p>
        </w:tc>
      </w:tr>
      <w:tr w:rsidR="006D70C4" w:rsidRPr="00DE1BD4" w14:paraId="75E015E3" w14:textId="77777777" w:rsidTr="00B52A26">
        <w:tc>
          <w:tcPr>
            <w:tcW w:w="1804" w:type="dxa"/>
          </w:tcPr>
          <w:p w14:paraId="304FDFFE" w14:textId="094B2D03" w:rsidR="006D70C4" w:rsidRPr="00DE1BD4" w:rsidRDefault="006D70C4" w:rsidP="007544EB">
            <w:pPr>
              <w:spacing w:before="40" w:after="40"/>
            </w:pPr>
          </w:p>
        </w:tc>
        <w:tc>
          <w:tcPr>
            <w:tcW w:w="1716" w:type="dxa"/>
            <w:vAlign w:val="center"/>
          </w:tcPr>
          <w:p w14:paraId="0350D943" w14:textId="77777777" w:rsidR="006D70C4" w:rsidRPr="00DE1BD4" w:rsidRDefault="006D70C4" w:rsidP="00B52A26">
            <w:pPr>
              <w:spacing w:before="40" w:after="40"/>
              <w:jc w:val="center"/>
            </w:pPr>
          </w:p>
        </w:tc>
        <w:tc>
          <w:tcPr>
            <w:tcW w:w="1895" w:type="dxa"/>
            <w:vAlign w:val="center"/>
          </w:tcPr>
          <w:p w14:paraId="4FAB857A" w14:textId="77777777" w:rsidR="006D70C4" w:rsidRPr="00DE1BD4" w:rsidRDefault="006D70C4" w:rsidP="00B52A26">
            <w:pPr>
              <w:spacing w:before="40" w:after="40"/>
              <w:jc w:val="center"/>
            </w:pPr>
          </w:p>
        </w:tc>
        <w:tc>
          <w:tcPr>
            <w:tcW w:w="1842" w:type="dxa"/>
            <w:vAlign w:val="center"/>
          </w:tcPr>
          <w:p w14:paraId="022C84A0" w14:textId="77777777" w:rsidR="006D70C4" w:rsidRPr="00DE1BD4" w:rsidRDefault="006D70C4" w:rsidP="00B52A26">
            <w:pPr>
              <w:spacing w:before="40" w:after="40"/>
              <w:jc w:val="center"/>
            </w:pPr>
          </w:p>
        </w:tc>
        <w:tc>
          <w:tcPr>
            <w:tcW w:w="1571" w:type="dxa"/>
            <w:vAlign w:val="center"/>
          </w:tcPr>
          <w:p w14:paraId="00E89671" w14:textId="18261D9F" w:rsidR="006D70C4" w:rsidRPr="00DE1BD4" w:rsidRDefault="006D70C4" w:rsidP="00B52A26">
            <w:pPr>
              <w:spacing w:before="40" w:after="40"/>
              <w:jc w:val="center"/>
            </w:pPr>
          </w:p>
        </w:tc>
      </w:tr>
      <w:tr w:rsidR="00785757" w:rsidRPr="00DE1BD4" w14:paraId="22E54FC1" w14:textId="77777777" w:rsidTr="00B52A26">
        <w:tc>
          <w:tcPr>
            <w:tcW w:w="1804" w:type="dxa"/>
          </w:tcPr>
          <w:p w14:paraId="262D7207" w14:textId="5A1382A7" w:rsidR="00785757" w:rsidRPr="00DE1BD4" w:rsidRDefault="00785757" w:rsidP="007544EB">
            <w:pPr>
              <w:spacing w:before="40" w:after="40"/>
            </w:pPr>
          </w:p>
        </w:tc>
        <w:tc>
          <w:tcPr>
            <w:tcW w:w="1716" w:type="dxa"/>
            <w:vAlign w:val="center"/>
          </w:tcPr>
          <w:p w14:paraId="387C41C6" w14:textId="44E32BC8" w:rsidR="00785757" w:rsidRPr="00DE1BD4" w:rsidRDefault="00785757" w:rsidP="00B52A26">
            <w:pPr>
              <w:spacing w:before="40" w:after="40"/>
              <w:jc w:val="center"/>
            </w:pPr>
          </w:p>
        </w:tc>
        <w:tc>
          <w:tcPr>
            <w:tcW w:w="1895" w:type="dxa"/>
            <w:vAlign w:val="center"/>
          </w:tcPr>
          <w:p w14:paraId="11F40A7F" w14:textId="77777777" w:rsidR="00785757" w:rsidRPr="00DE1BD4" w:rsidRDefault="00785757" w:rsidP="00B52A26">
            <w:pPr>
              <w:spacing w:before="40" w:after="40"/>
              <w:jc w:val="center"/>
            </w:pPr>
          </w:p>
        </w:tc>
        <w:tc>
          <w:tcPr>
            <w:tcW w:w="1842" w:type="dxa"/>
            <w:vAlign w:val="center"/>
          </w:tcPr>
          <w:p w14:paraId="5A435B23" w14:textId="77777777" w:rsidR="00785757" w:rsidRPr="00DE1BD4" w:rsidRDefault="00785757" w:rsidP="00B52A26">
            <w:pPr>
              <w:spacing w:before="40" w:after="40"/>
              <w:jc w:val="center"/>
            </w:pPr>
          </w:p>
        </w:tc>
        <w:tc>
          <w:tcPr>
            <w:tcW w:w="1571" w:type="dxa"/>
            <w:vAlign w:val="center"/>
          </w:tcPr>
          <w:p w14:paraId="650C45F9" w14:textId="240A942C" w:rsidR="00785757" w:rsidRPr="00DE1BD4" w:rsidRDefault="00785757" w:rsidP="00B52A26">
            <w:pPr>
              <w:spacing w:before="40" w:after="40"/>
              <w:jc w:val="center"/>
            </w:pPr>
          </w:p>
        </w:tc>
      </w:tr>
      <w:tr w:rsidR="00785757" w:rsidRPr="00DE1BD4" w14:paraId="48BA9127" w14:textId="77777777" w:rsidTr="00B52A26">
        <w:tc>
          <w:tcPr>
            <w:tcW w:w="1804" w:type="dxa"/>
          </w:tcPr>
          <w:p w14:paraId="74007CD5" w14:textId="3C2A6984" w:rsidR="00785757" w:rsidRPr="00DE1BD4" w:rsidRDefault="00785757" w:rsidP="007544EB">
            <w:pPr>
              <w:spacing w:before="40" w:after="40"/>
            </w:pPr>
          </w:p>
        </w:tc>
        <w:tc>
          <w:tcPr>
            <w:tcW w:w="1716" w:type="dxa"/>
            <w:vAlign w:val="center"/>
          </w:tcPr>
          <w:p w14:paraId="51C1E6A6" w14:textId="37A1258D" w:rsidR="00785757" w:rsidRPr="00DE1BD4" w:rsidRDefault="00785757" w:rsidP="00B52A26">
            <w:pPr>
              <w:spacing w:before="40" w:after="40"/>
              <w:jc w:val="center"/>
            </w:pPr>
          </w:p>
        </w:tc>
        <w:tc>
          <w:tcPr>
            <w:tcW w:w="1895" w:type="dxa"/>
            <w:vAlign w:val="center"/>
          </w:tcPr>
          <w:p w14:paraId="16BA3E1B" w14:textId="77777777" w:rsidR="00785757" w:rsidRPr="00DE1BD4" w:rsidRDefault="00785757" w:rsidP="00B52A26">
            <w:pPr>
              <w:spacing w:before="40" w:after="40"/>
              <w:jc w:val="center"/>
            </w:pPr>
          </w:p>
        </w:tc>
        <w:tc>
          <w:tcPr>
            <w:tcW w:w="1842" w:type="dxa"/>
            <w:vAlign w:val="center"/>
          </w:tcPr>
          <w:p w14:paraId="01ED5672" w14:textId="77777777" w:rsidR="00785757" w:rsidRPr="00DE1BD4" w:rsidRDefault="00785757" w:rsidP="00B52A26">
            <w:pPr>
              <w:spacing w:before="40" w:after="40"/>
              <w:jc w:val="center"/>
            </w:pPr>
          </w:p>
        </w:tc>
        <w:tc>
          <w:tcPr>
            <w:tcW w:w="1571" w:type="dxa"/>
            <w:vAlign w:val="center"/>
          </w:tcPr>
          <w:p w14:paraId="091A1594" w14:textId="39882932" w:rsidR="00785757" w:rsidRPr="00DE1BD4" w:rsidRDefault="00785757" w:rsidP="00B52A26">
            <w:pPr>
              <w:spacing w:before="40" w:after="40"/>
              <w:jc w:val="center"/>
            </w:pPr>
          </w:p>
        </w:tc>
      </w:tr>
    </w:tbl>
    <w:p w14:paraId="15847705" w14:textId="77777777" w:rsidR="005A7630" w:rsidRPr="00DE1BD4" w:rsidRDefault="005A7630" w:rsidP="005A7630"/>
    <w:p w14:paraId="15D6B6FD" w14:textId="77777777" w:rsidR="005A7630" w:rsidRPr="00DE1BD4" w:rsidRDefault="005A7630" w:rsidP="0024297A">
      <w:pPr>
        <w:pStyle w:val="Heading4"/>
        <w:numPr>
          <w:ilvl w:val="0"/>
          <w:numId w:val="0"/>
        </w:numPr>
      </w:pPr>
      <w:r w:rsidRPr="00DE1BD4">
        <w:t>Mobile providers</w:t>
      </w:r>
    </w:p>
    <w:p w14:paraId="6936B5EA" w14:textId="77777777" w:rsidR="005A7630" w:rsidRPr="00DE1BD4" w:rsidRDefault="005A7630" w:rsidP="005A7630"/>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950"/>
        <w:gridCol w:w="1710"/>
      </w:tblGrid>
      <w:tr w:rsidR="005A7630" w:rsidRPr="00DE1BD4" w14:paraId="51C50F7C" w14:textId="77777777" w:rsidTr="00D149AA">
        <w:tc>
          <w:tcPr>
            <w:tcW w:w="2695" w:type="dxa"/>
          </w:tcPr>
          <w:p w14:paraId="72EDC013" w14:textId="77777777" w:rsidR="005A7630" w:rsidRPr="00DE1BD4" w:rsidRDefault="005A7630" w:rsidP="007544EB">
            <w:pPr>
              <w:spacing w:before="40" w:after="40"/>
              <w:jc w:val="center"/>
              <w:rPr>
                <w:b/>
                <w:bCs/>
              </w:rPr>
            </w:pPr>
            <w:r w:rsidRPr="00DE1BD4">
              <w:rPr>
                <w:b/>
                <w:bCs/>
              </w:rPr>
              <w:t>Mobile Provider</w:t>
            </w:r>
          </w:p>
        </w:tc>
        <w:tc>
          <w:tcPr>
            <w:tcW w:w="4950" w:type="dxa"/>
          </w:tcPr>
          <w:p w14:paraId="25EE9296" w14:textId="77777777" w:rsidR="005A7630" w:rsidRPr="00DE1BD4" w:rsidRDefault="005A7630" w:rsidP="007544EB">
            <w:pPr>
              <w:spacing w:before="40" w:after="40"/>
              <w:jc w:val="center"/>
              <w:rPr>
                <w:b/>
                <w:bCs/>
              </w:rPr>
            </w:pPr>
            <w:r w:rsidRPr="00DE1BD4">
              <w:rPr>
                <w:b/>
                <w:bCs/>
              </w:rPr>
              <w:t>Coverage (District, Cities/Localities)</w:t>
            </w:r>
          </w:p>
        </w:tc>
        <w:tc>
          <w:tcPr>
            <w:tcW w:w="1710" w:type="dxa"/>
          </w:tcPr>
          <w:p w14:paraId="4C7A5DBB" w14:textId="77777777" w:rsidR="005A7630" w:rsidRPr="00DE1BD4" w:rsidRDefault="005A7630" w:rsidP="007544EB">
            <w:pPr>
              <w:spacing w:before="40" w:after="40"/>
              <w:jc w:val="center"/>
              <w:rPr>
                <w:b/>
                <w:bCs/>
              </w:rPr>
            </w:pPr>
            <w:r w:rsidRPr="00DE1BD4">
              <w:rPr>
                <w:b/>
                <w:bCs/>
              </w:rPr>
              <w:t xml:space="preserve">Technology </w:t>
            </w:r>
          </w:p>
          <w:p w14:paraId="0D6AB597" w14:textId="77777777" w:rsidR="005A7630" w:rsidRPr="00DE1BD4" w:rsidRDefault="005A7630" w:rsidP="007544EB">
            <w:pPr>
              <w:spacing w:before="40" w:after="40"/>
              <w:jc w:val="center"/>
              <w:rPr>
                <w:b/>
                <w:bCs/>
              </w:rPr>
            </w:pPr>
            <w:r w:rsidRPr="00DE1BD4">
              <w:rPr>
                <w:b/>
                <w:bCs/>
              </w:rPr>
              <w:t>(2G, 3G, 4G)</w:t>
            </w:r>
          </w:p>
        </w:tc>
      </w:tr>
      <w:tr w:rsidR="005A7630" w:rsidRPr="00DE1BD4" w14:paraId="75EE4D4F" w14:textId="77777777" w:rsidTr="008837CA">
        <w:tc>
          <w:tcPr>
            <w:tcW w:w="2695" w:type="dxa"/>
          </w:tcPr>
          <w:p w14:paraId="0FEFF9A4" w14:textId="1D13DD5C" w:rsidR="005A7630" w:rsidRPr="00DE1BD4" w:rsidRDefault="005A7630" w:rsidP="007544EB">
            <w:pPr>
              <w:spacing w:before="40" w:after="40"/>
            </w:pPr>
          </w:p>
        </w:tc>
        <w:tc>
          <w:tcPr>
            <w:tcW w:w="4950" w:type="dxa"/>
          </w:tcPr>
          <w:p w14:paraId="0448CA25" w14:textId="661EC621" w:rsidR="005A7630" w:rsidRPr="00DE1BD4" w:rsidRDefault="00E94D96" w:rsidP="007544EB">
            <w:pPr>
              <w:spacing w:before="40" w:after="40"/>
            </w:pPr>
            <w:r w:rsidRPr="00DE1BD4">
              <w:t>Most major populated areas of the country</w:t>
            </w:r>
          </w:p>
        </w:tc>
        <w:tc>
          <w:tcPr>
            <w:tcW w:w="1710" w:type="dxa"/>
            <w:vAlign w:val="center"/>
          </w:tcPr>
          <w:p w14:paraId="777F9E71" w14:textId="7F04A924" w:rsidR="005A7630" w:rsidRPr="00DE1BD4" w:rsidRDefault="00E94D96" w:rsidP="008837CA">
            <w:pPr>
              <w:spacing w:before="40" w:after="40"/>
              <w:jc w:val="center"/>
            </w:pPr>
            <w:r w:rsidRPr="00DE1BD4">
              <w:t>2G, 3G, 4G</w:t>
            </w:r>
          </w:p>
        </w:tc>
      </w:tr>
      <w:tr w:rsidR="005A7630" w:rsidRPr="00DE1BD4" w14:paraId="5FCE9CBE" w14:textId="77777777" w:rsidTr="008837CA">
        <w:tc>
          <w:tcPr>
            <w:tcW w:w="2695" w:type="dxa"/>
          </w:tcPr>
          <w:p w14:paraId="5218BE11" w14:textId="1E1FE4FF" w:rsidR="005A7630" w:rsidRPr="00DE1BD4" w:rsidRDefault="005A7630" w:rsidP="007544EB">
            <w:pPr>
              <w:spacing w:before="40" w:after="40"/>
            </w:pPr>
          </w:p>
        </w:tc>
        <w:tc>
          <w:tcPr>
            <w:tcW w:w="4950" w:type="dxa"/>
          </w:tcPr>
          <w:p w14:paraId="1A408172" w14:textId="1B2CFD8E" w:rsidR="005A7630" w:rsidRPr="00DE1BD4" w:rsidRDefault="00E94D96" w:rsidP="007544EB">
            <w:pPr>
              <w:spacing w:before="40" w:after="40"/>
            </w:pPr>
            <w:r w:rsidRPr="00DE1BD4">
              <w:t>Most major populated areas of the country</w:t>
            </w:r>
          </w:p>
        </w:tc>
        <w:tc>
          <w:tcPr>
            <w:tcW w:w="1710" w:type="dxa"/>
            <w:vAlign w:val="center"/>
          </w:tcPr>
          <w:p w14:paraId="37B2C223" w14:textId="19A0EE96" w:rsidR="005A7630" w:rsidRPr="00DE1BD4" w:rsidRDefault="00E94D96" w:rsidP="008837CA">
            <w:pPr>
              <w:spacing w:before="40" w:after="40"/>
              <w:jc w:val="center"/>
            </w:pPr>
            <w:r w:rsidRPr="00DE1BD4">
              <w:t>2G, 3G, 4G</w:t>
            </w:r>
          </w:p>
        </w:tc>
      </w:tr>
      <w:tr w:rsidR="003B41EE" w:rsidRPr="00DE1BD4" w14:paraId="7E157002" w14:textId="77777777" w:rsidTr="008837CA">
        <w:tc>
          <w:tcPr>
            <w:tcW w:w="2695" w:type="dxa"/>
          </w:tcPr>
          <w:p w14:paraId="70B8F927" w14:textId="48A0C48E" w:rsidR="003B41EE" w:rsidRPr="00DE1BD4" w:rsidRDefault="003B41EE" w:rsidP="007544EB">
            <w:pPr>
              <w:spacing w:before="40" w:after="40"/>
            </w:pPr>
          </w:p>
        </w:tc>
        <w:tc>
          <w:tcPr>
            <w:tcW w:w="4950" w:type="dxa"/>
          </w:tcPr>
          <w:p w14:paraId="033B3180" w14:textId="7CAFCD3D" w:rsidR="003B41EE" w:rsidRPr="00DE1BD4" w:rsidRDefault="003B41EE" w:rsidP="007544EB">
            <w:pPr>
              <w:spacing w:before="40" w:after="40"/>
            </w:pPr>
          </w:p>
        </w:tc>
        <w:tc>
          <w:tcPr>
            <w:tcW w:w="1710" w:type="dxa"/>
            <w:vAlign w:val="center"/>
          </w:tcPr>
          <w:p w14:paraId="10E6B75F" w14:textId="5AA16515" w:rsidR="003B41EE" w:rsidRPr="00DE1BD4" w:rsidRDefault="003B41EE" w:rsidP="008837CA">
            <w:pPr>
              <w:spacing w:before="40" w:after="40"/>
              <w:jc w:val="center"/>
            </w:pPr>
          </w:p>
        </w:tc>
      </w:tr>
    </w:tbl>
    <w:p w14:paraId="146011AC" w14:textId="77777777" w:rsidR="005A7630" w:rsidRPr="00DE1BD4" w:rsidRDefault="005A7630" w:rsidP="005A7630"/>
    <w:p w14:paraId="4492B57F" w14:textId="77777777" w:rsidR="005A7630" w:rsidRPr="00DE1BD4" w:rsidRDefault="005A7630" w:rsidP="0024297A">
      <w:pPr>
        <w:pStyle w:val="Heading4"/>
        <w:numPr>
          <w:ilvl w:val="0"/>
          <w:numId w:val="0"/>
        </w:numPr>
      </w:pPr>
      <w:r w:rsidRPr="00DE1BD4">
        <w:t>Fixed providers</w:t>
      </w:r>
    </w:p>
    <w:p w14:paraId="4B49A3F3" w14:textId="77777777" w:rsidR="005A7630" w:rsidRPr="00DE1BD4" w:rsidRDefault="005A7630" w:rsidP="005A7630"/>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960"/>
        <w:gridCol w:w="1350"/>
        <w:gridCol w:w="1350"/>
      </w:tblGrid>
      <w:tr w:rsidR="005A7630" w:rsidRPr="00DE1BD4" w14:paraId="1154D43D" w14:textId="77777777" w:rsidTr="00D149AA">
        <w:tc>
          <w:tcPr>
            <w:tcW w:w="2695" w:type="dxa"/>
          </w:tcPr>
          <w:p w14:paraId="632380CF" w14:textId="77777777" w:rsidR="005A7630" w:rsidRPr="00DE1BD4" w:rsidRDefault="005A7630" w:rsidP="007544EB">
            <w:pPr>
              <w:spacing w:before="40" w:after="40"/>
              <w:jc w:val="center"/>
              <w:rPr>
                <w:b/>
                <w:bCs/>
              </w:rPr>
            </w:pPr>
            <w:r w:rsidRPr="00DE1BD4">
              <w:rPr>
                <w:b/>
                <w:bCs/>
              </w:rPr>
              <w:t>Fixed Provider</w:t>
            </w:r>
          </w:p>
        </w:tc>
        <w:tc>
          <w:tcPr>
            <w:tcW w:w="3960" w:type="dxa"/>
          </w:tcPr>
          <w:p w14:paraId="641175BD" w14:textId="77777777" w:rsidR="005A7630" w:rsidRPr="00DE1BD4" w:rsidRDefault="005A7630" w:rsidP="007544EB">
            <w:pPr>
              <w:spacing w:before="40" w:after="40"/>
              <w:jc w:val="center"/>
              <w:rPr>
                <w:b/>
                <w:bCs/>
              </w:rPr>
            </w:pPr>
            <w:r w:rsidRPr="00DE1BD4">
              <w:rPr>
                <w:b/>
                <w:bCs/>
              </w:rPr>
              <w:t>Coverage (District, Cities/Localities)</w:t>
            </w:r>
          </w:p>
        </w:tc>
        <w:tc>
          <w:tcPr>
            <w:tcW w:w="1350" w:type="dxa"/>
          </w:tcPr>
          <w:p w14:paraId="0CDECD1F" w14:textId="77777777" w:rsidR="005A7630" w:rsidRPr="00DE1BD4" w:rsidRDefault="005A7630" w:rsidP="007544EB">
            <w:pPr>
              <w:spacing w:before="40" w:after="40"/>
              <w:jc w:val="center"/>
              <w:rPr>
                <w:b/>
                <w:bCs/>
              </w:rPr>
            </w:pPr>
            <w:r w:rsidRPr="00DE1BD4">
              <w:rPr>
                <w:b/>
                <w:bCs/>
              </w:rPr>
              <w:t xml:space="preserve">Technology </w:t>
            </w:r>
          </w:p>
        </w:tc>
        <w:tc>
          <w:tcPr>
            <w:tcW w:w="1350" w:type="dxa"/>
          </w:tcPr>
          <w:p w14:paraId="5A6FE298" w14:textId="77777777" w:rsidR="005A7630" w:rsidRPr="00DE1BD4" w:rsidRDefault="005A7630" w:rsidP="007544EB">
            <w:pPr>
              <w:spacing w:before="40" w:after="40"/>
              <w:jc w:val="center"/>
              <w:rPr>
                <w:b/>
                <w:bCs/>
              </w:rPr>
            </w:pPr>
            <w:r w:rsidRPr="00DE1BD4">
              <w:rPr>
                <w:b/>
                <w:bCs/>
              </w:rPr>
              <w:t>Service</w:t>
            </w:r>
          </w:p>
        </w:tc>
      </w:tr>
      <w:tr w:rsidR="005A7630" w:rsidRPr="00DE1BD4" w14:paraId="09DC605A" w14:textId="77777777" w:rsidTr="00D149AA">
        <w:tc>
          <w:tcPr>
            <w:tcW w:w="2695" w:type="dxa"/>
          </w:tcPr>
          <w:p w14:paraId="7E5ED4AA" w14:textId="7F618B9A" w:rsidR="005A7630" w:rsidRPr="00DE1BD4" w:rsidRDefault="005A7630" w:rsidP="007544EB">
            <w:pPr>
              <w:spacing w:before="40" w:after="40"/>
            </w:pPr>
          </w:p>
        </w:tc>
        <w:tc>
          <w:tcPr>
            <w:tcW w:w="3960" w:type="dxa"/>
          </w:tcPr>
          <w:p w14:paraId="171179EB" w14:textId="3D4142D3" w:rsidR="005A7630" w:rsidRPr="00DE1BD4" w:rsidRDefault="005A7630" w:rsidP="007544EB">
            <w:pPr>
              <w:spacing w:before="40" w:after="40"/>
            </w:pPr>
          </w:p>
        </w:tc>
        <w:tc>
          <w:tcPr>
            <w:tcW w:w="1350" w:type="dxa"/>
          </w:tcPr>
          <w:p w14:paraId="147EDF1A" w14:textId="5A87727D" w:rsidR="005A7630" w:rsidRPr="00DE1BD4" w:rsidRDefault="00AE4FE0" w:rsidP="007544EB">
            <w:pPr>
              <w:spacing w:before="40" w:after="40"/>
            </w:pPr>
            <w:r w:rsidRPr="00DE1BD4">
              <w:t>FWA fibre</w:t>
            </w:r>
          </w:p>
        </w:tc>
        <w:tc>
          <w:tcPr>
            <w:tcW w:w="1350" w:type="dxa"/>
          </w:tcPr>
          <w:p w14:paraId="62419ACC" w14:textId="298CD9CE" w:rsidR="005A7630" w:rsidRPr="00DE1BD4" w:rsidRDefault="00AE4FE0" w:rsidP="007544EB">
            <w:pPr>
              <w:spacing w:before="40" w:after="40"/>
            </w:pPr>
            <w:r w:rsidRPr="00DE1BD4">
              <w:t>Data and Internet</w:t>
            </w:r>
          </w:p>
        </w:tc>
      </w:tr>
      <w:tr w:rsidR="005A7630" w:rsidRPr="00DE1BD4" w14:paraId="6E4FC00C" w14:textId="77777777" w:rsidTr="00D149AA">
        <w:tc>
          <w:tcPr>
            <w:tcW w:w="2695" w:type="dxa"/>
          </w:tcPr>
          <w:p w14:paraId="666900CF" w14:textId="5C358941" w:rsidR="005A7630" w:rsidRPr="00DE1BD4" w:rsidRDefault="005A7630" w:rsidP="007544EB">
            <w:pPr>
              <w:spacing w:before="40" w:after="40"/>
            </w:pPr>
          </w:p>
        </w:tc>
        <w:tc>
          <w:tcPr>
            <w:tcW w:w="3960" w:type="dxa"/>
          </w:tcPr>
          <w:p w14:paraId="6550F42B" w14:textId="22ECAC28" w:rsidR="005A7630" w:rsidRPr="00DE1BD4" w:rsidRDefault="005A7630" w:rsidP="007544EB">
            <w:pPr>
              <w:spacing w:before="40" w:after="40"/>
            </w:pPr>
          </w:p>
        </w:tc>
        <w:tc>
          <w:tcPr>
            <w:tcW w:w="1350" w:type="dxa"/>
          </w:tcPr>
          <w:p w14:paraId="6DB3EFD5" w14:textId="1760D8B7" w:rsidR="005A7630" w:rsidRPr="00DE1BD4" w:rsidRDefault="00AE4FE0" w:rsidP="007544EB">
            <w:pPr>
              <w:spacing w:before="40" w:after="40"/>
            </w:pPr>
            <w:r w:rsidRPr="00DE1BD4">
              <w:t>FWA fibre</w:t>
            </w:r>
          </w:p>
        </w:tc>
        <w:tc>
          <w:tcPr>
            <w:tcW w:w="1350" w:type="dxa"/>
          </w:tcPr>
          <w:p w14:paraId="2B04B2E5" w14:textId="72D1DAAC" w:rsidR="005A7630" w:rsidRPr="00DE1BD4" w:rsidRDefault="00AE4FE0" w:rsidP="007544EB">
            <w:pPr>
              <w:spacing w:before="40" w:after="40"/>
            </w:pPr>
            <w:r w:rsidRPr="00DE1BD4">
              <w:t>Data and Internet</w:t>
            </w:r>
          </w:p>
        </w:tc>
      </w:tr>
      <w:tr w:rsidR="00903A52" w:rsidRPr="00DE1BD4" w14:paraId="024051BC" w14:textId="77777777" w:rsidTr="00D149AA">
        <w:tc>
          <w:tcPr>
            <w:tcW w:w="2695" w:type="dxa"/>
          </w:tcPr>
          <w:p w14:paraId="73BC5F83" w14:textId="74966A03" w:rsidR="00903A52" w:rsidRPr="00DE1BD4" w:rsidRDefault="00903A52" w:rsidP="007544EB">
            <w:pPr>
              <w:spacing w:before="40" w:after="40"/>
            </w:pPr>
          </w:p>
        </w:tc>
        <w:tc>
          <w:tcPr>
            <w:tcW w:w="3960" w:type="dxa"/>
          </w:tcPr>
          <w:p w14:paraId="1CA90BC5" w14:textId="0CDF7BA0" w:rsidR="00903A52" w:rsidRPr="00DE1BD4" w:rsidRDefault="00903A52" w:rsidP="007544EB">
            <w:pPr>
              <w:spacing w:before="40" w:after="40"/>
            </w:pPr>
          </w:p>
        </w:tc>
        <w:tc>
          <w:tcPr>
            <w:tcW w:w="1350" w:type="dxa"/>
          </w:tcPr>
          <w:p w14:paraId="1C353CB1" w14:textId="4D315C90" w:rsidR="00903A52" w:rsidRPr="00DE1BD4" w:rsidRDefault="00FF40E3" w:rsidP="007544EB">
            <w:pPr>
              <w:spacing w:before="40" w:after="40"/>
            </w:pPr>
            <w:proofErr w:type="spellStart"/>
            <w:r w:rsidRPr="00DE1BD4">
              <w:t>Sub sea</w:t>
            </w:r>
            <w:proofErr w:type="spellEnd"/>
            <w:r w:rsidRPr="00DE1BD4">
              <w:t xml:space="preserve"> fibre</w:t>
            </w:r>
          </w:p>
        </w:tc>
        <w:tc>
          <w:tcPr>
            <w:tcW w:w="1350" w:type="dxa"/>
          </w:tcPr>
          <w:p w14:paraId="416607A6" w14:textId="229E2DB9" w:rsidR="00903A52" w:rsidRPr="00DE1BD4" w:rsidRDefault="00FF40E3" w:rsidP="007544EB">
            <w:pPr>
              <w:spacing w:before="40" w:after="40"/>
            </w:pPr>
            <w:r w:rsidRPr="00DE1BD4">
              <w:t>Backhaul, Internet</w:t>
            </w:r>
          </w:p>
        </w:tc>
      </w:tr>
      <w:tr w:rsidR="00FF40E3" w:rsidRPr="00DE1BD4" w14:paraId="169632C7" w14:textId="77777777" w:rsidTr="00D149AA">
        <w:tc>
          <w:tcPr>
            <w:tcW w:w="2695" w:type="dxa"/>
          </w:tcPr>
          <w:p w14:paraId="1B2D6388" w14:textId="496DDA78" w:rsidR="00FF40E3" w:rsidRPr="00DE1BD4" w:rsidRDefault="00FF40E3" w:rsidP="007544EB">
            <w:pPr>
              <w:spacing w:before="40" w:after="40"/>
            </w:pPr>
          </w:p>
        </w:tc>
        <w:tc>
          <w:tcPr>
            <w:tcW w:w="3960" w:type="dxa"/>
          </w:tcPr>
          <w:p w14:paraId="3750103B" w14:textId="77777777" w:rsidR="00FF40E3" w:rsidRPr="00DE1BD4" w:rsidRDefault="00FF40E3" w:rsidP="007544EB">
            <w:pPr>
              <w:spacing w:before="40" w:after="40"/>
            </w:pPr>
          </w:p>
        </w:tc>
        <w:tc>
          <w:tcPr>
            <w:tcW w:w="1350" w:type="dxa"/>
          </w:tcPr>
          <w:p w14:paraId="158B6747" w14:textId="5F986BD1" w:rsidR="00FF40E3" w:rsidRPr="00DE1BD4" w:rsidRDefault="00AE4FE0" w:rsidP="007544EB">
            <w:pPr>
              <w:spacing w:before="40" w:after="40"/>
            </w:pPr>
            <w:r w:rsidRPr="00DE1BD4">
              <w:t>FWA</w:t>
            </w:r>
          </w:p>
        </w:tc>
        <w:tc>
          <w:tcPr>
            <w:tcW w:w="1350" w:type="dxa"/>
          </w:tcPr>
          <w:p w14:paraId="2005B8FB" w14:textId="59F022D6" w:rsidR="00FF40E3" w:rsidRPr="00DE1BD4" w:rsidRDefault="00AE4FE0" w:rsidP="007544EB">
            <w:pPr>
              <w:spacing w:before="40" w:after="40"/>
            </w:pPr>
            <w:r w:rsidRPr="00DE1BD4">
              <w:t>Data and Internet</w:t>
            </w:r>
          </w:p>
        </w:tc>
      </w:tr>
    </w:tbl>
    <w:p w14:paraId="048789CB" w14:textId="77777777" w:rsidR="005A7630" w:rsidRPr="00DE1BD4" w:rsidRDefault="005A7630" w:rsidP="005A7630"/>
    <w:p w14:paraId="5EBDE6EB" w14:textId="77777777" w:rsidR="005A7630" w:rsidRPr="00DE1BD4" w:rsidRDefault="005A7630" w:rsidP="0024297A">
      <w:pPr>
        <w:pStyle w:val="Heading4"/>
        <w:numPr>
          <w:ilvl w:val="0"/>
          <w:numId w:val="0"/>
        </w:numPr>
      </w:pPr>
      <w:r w:rsidRPr="00DE1BD4">
        <w:t>Satellite</w:t>
      </w:r>
    </w:p>
    <w:p w14:paraId="3650ABB9" w14:textId="77777777" w:rsidR="005A7630" w:rsidRPr="00DE1BD4" w:rsidRDefault="005A7630" w:rsidP="005A7630"/>
    <w:p w14:paraId="4FD8B6B1" w14:textId="77777777" w:rsidR="005A7630" w:rsidRPr="00DE1BD4" w:rsidRDefault="005A7630" w:rsidP="005A7630">
      <w:r w:rsidRPr="00DE1BD4">
        <w:t>[Satellite equipment, equipment location, voice and/or data services, satellite provider, frequencies, etc.]</w:t>
      </w:r>
    </w:p>
    <w:p w14:paraId="47E58003" w14:textId="77777777" w:rsidR="005A7630" w:rsidRPr="00DE1BD4" w:rsidRDefault="005A7630" w:rsidP="005A7630"/>
    <w:p w14:paraId="4A6CD984" w14:textId="77777777" w:rsidR="005A7630" w:rsidRPr="00DE1BD4" w:rsidRDefault="005A7630" w:rsidP="0024297A">
      <w:pPr>
        <w:pStyle w:val="Heading4"/>
        <w:numPr>
          <w:ilvl w:val="0"/>
          <w:numId w:val="0"/>
        </w:numPr>
      </w:pPr>
      <w:r w:rsidRPr="00DE1BD4">
        <w:t>Amateur Radio</w:t>
      </w:r>
    </w:p>
    <w:p w14:paraId="4CE18268" w14:textId="77777777" w:rsidR="005A7630" w:rsidRPr="00DE1BD4" w:rsidRDefault="005A7630" w:rsidP="005A7630"/>
    <w:p w14:paraId="0254A760" w14:textId="77777777" w:rsidR="005A7630" w:rsidRPr="00DE1BD4" w:rsidRDefault="005A7630" w:rsidP="005A7630">
      <w:r w:rsidRPr="00DE1BD4">
        <w:t>[Network specifications to be provided, e.g., repeater locations, frequencies, voice and/or data service, type of equipment, etc.]</w:t>
      </w:r>
    </w:p>
    <w:p w14:paraId="04A5CE51" w14:textId="77777777" w:rsidR="005A7630" w:rsidRPr="00DE1BD4" w:rsidRDefault="005A7630" w:rsidP="005A7630"/>
    <w:p w14:paraId="67E8B4FE" w14:textId="056BD68D" w:rsidR="005A7630" w:rsidRPr="00DE1BD4" w:rsidRDefault="005A7630" w:rsidP="00C528FF">
      <w:pPr>
        <w:pStyle w:val="Heading2"/>
        <w:numPr>
          <w:ilvl w:val="0"/>
          <w:numId w:val="0"/>
        </w:numPr>
      </w:pPr>
      <w:bookmarkStart w:id="564" w:name="_2szc72q"/>
      <w:bookmarkStart w:id="565" w:name="_Toc50421961"/>
      <w:bookmarkStart w:id="566" w:name="_Toc90825928"/>
      <w:bookmarkStart w:id="567" w:name="_Toc90826043"/>
      <w:bookmarkStart w:id="568" w:name="_Toc91172699"/>
      <w:bookmarkStart w:id="569" w:name="_Toc91185586"/>
      <w:bookmarkStart w:id="570" w:name="_Toc181885845"/>
      <w:bookmarkEnd w:id="564"/>
      <w:r w:rsidRPr="00DE1BD4">
        <w:t xml:space="preserve">A2. Disaster </w:t>
      </w:r>
      <w:r w:rsidR="00BC3693" w:rsidRPr="00DE1BD4">
        <w:t>M</w:t>
      </w:r>
      <w:r w:rsidRPr="00DE1BD4">
        <w:t xml:space="preserve">anagement </w:t>
      </w:r>
      <w:r w:rsidR="00BC3693" w:rsidRPr="00DE1BD4">
        <w:t>N</w:t>
      </w:r>
      <w:r w:rsidRPr="00DE1BD4">
        <w:t>etwork</w:t>
      </w:r>
      <w:bookmarkEnd w:id="565"/>
      <w:bookmarkEnd w:id="566"/>
      <w:bookmarkEnd w:id="567"/>
      <w:bookmarkEnd w:id="568"/>
      <w:bookmarkEnd w:id="569"/>
      <w:bookmarkEnd w:id="570"/>
    </w:p>
    <w:p w14:paraId="6574749D" w14:textId="0F074996" w:rsidR="005A7630" w:rsidRPr="00DE1BD4" w:rsidRDefault="005A7630" w:rsidP="005A7630">
      <w:r w:rsidRPr="00DE1BD4">
        <w:t>[Frequencies of operation (HF, VHF, UHF, etc.), repeater locations – radio sites, inventory of mobile and portable radio terminals, callsigns, who is responsible for the equipment/network, etc.]</w:t>
      </w:r>
    </w:p>
    <w:p w14:paraId="3FAAA1B9" w14:textId="77777777" w:rsidR="005A7630" w:rsidRPr="00DE1BD4" w:rsidRDefault="005A7630" w:rsidP="005A7630"/>
    <w:p w14:paraId="100B0542" w14:textId="059842EF" w:rsidR="005A7630" w:rsidRPr="00DE1BD4" w:rsidRDefault="005A7630" w:rsidP="00C528FF">
      <w:pPr>
        <w:pStyle w:val="Heading2"/>
        <w:numPr>
          <w:ilvl w:val="0"/>
          <w:numId w:val="0"/>
        </w:numPr>
      </w:pPr>
      <w:bookmarkStart w:id="571" w:name="_184mhaj"/>
      <w:bookmarkStart w:id="572" w:name="_Toc50421962"/>
      <w:bookmarkStart w:id="573" w:name="_Toc90825929"/>
      <w:bookmarkStart w:id="574" w:name="_Toc90826044"/>
      <w:bookmarkStart w:id="575" w:name="_Toc91172700"/>
      <w:bookmarkStart w:id="576" w:name="_Toc91185587"/>
      <w:bookmarkStart w:id="577" w:name="_Toc181885846"/>
      <w:bookmarkEnd w:id="571"/>
      <w:r w:rsidRPr="00DE1BD4">
        <w:t xml:space="preserve">A3. Private </w:t>
      </w:r>
      <w:r w:rsidR="00BC3693" w:rsidRPr="00DE1BD4">
        <w:t>N</w:t>
      </w:r>
      <w:r w:rsidRPr="00DE1BD4">
        <w:t>etworks</w:t>
      </w:r>
      <w:bookmarkEnd w:id="572"/>
      <w:bookmarkEnd w:id="573"/>
      <w:bookmarkEnd w:id="574"/>
      <w:bookmarkEnd w:id="575"/>
      <w:bookmarkEnd w:id="576"/>
      <w:bookmarkEnd w:id="577"/>
    </w:p>
    <w:p w14:paraId="11D580A8" w14:textId="77777777" w:rsidR="005A7630" w:rsidRPr="00DE1BD4" w:rsidRDefault="005A7630" w:rsidP="005A7630">
      <w:r w:rsidRPr="00DE1BD4">
        <w:t>[Name/owner, site locations, frequencies, coverage, etc.]</w:t>
      </w:r>
    </w:p>
    <w:p w14:paraId="46B5720A" w14:textId="77777777" w:rsidR="005A7630" w:rsidRPr="00DE1BD4" w:rsidRDefault="005A7630" w:rsidP="005A7630"/>
    <w:p w14:paraId="39E4CEA3" w14:textId="6F8EF574" w:rsidR="005A7630" w:rsidRPr="00DE1BD4" w:rsidRDefault="005A7630" w:rsidP="00C528FF">
      <w:pPr>
        <w:pStyle w:val="Heading2"/>
        <w:numPr>
          <w:ilvl w:val="0"/>
          <w:numId w:val="0"/>
        </w:numPr>
      </w:pPr>
      <w:bookmarkStart w:id="578" w:name="_3s49zyc"/>
      <w:bookmarkStart w:id="579" w:name="_Toc50421963"/>
      <w:bookmarkStart w:id="580" w:name="_Toc90825930"/>
      <w:bookmarkStart w:id="581" w:name="_Toc90826045"/>
      <w:bookmarkStart w:id="582" w:name="_Toc91172701"/>
      <w:bookmarkStart w:id="583" w:name="_Toc91185588"/>
      <w:bookmarkStart w:id="584" w:name="_Toc181885847"/>
      <w:bookmarkStart w:id="585" w:name="_Hlk138406495"/>
      <w:bookmarkEnd w:id="578"/>
      <w:r w:rsidRPr="00DE1BD4">
        <w:t xml:space="preserve">A4. Contact </w:t>
      </w:r>
      <w:r w:rsidR="002F17CB" w:rsidRPr="00DE1BD4">
        <w:t>I</w:t>
      </w:r>
      <w:r w:rsidRPr="00DE1BD4">
        <w:t>nformation</w:t>
      </w:r>
      <w:bookmarkEnd w:id="579"/>
      <w:bookmarkEnd w:id="580"/>
      <w:bookmarkEnd w:id="581"/>
      <w:bookmarkEnd w:id="582"/>
      <w:bookmarkEnd w:id="583"/>
      <w:bookmarkEnd w:id="584"/>
    </w:p>
    <w:bookmarkEnd w:id="585"/>
    <w:p w14:paraId="19D8175D" w14:textId="77777777" w:rsidR="005A7630" w:rsidRPr="00DE1BD4" w:rsidRDefault="005A7630" w:rsidP="005A7630">
      <w:r w:rsidRPr="00DE1BD4">
        <w:t>[Contact information of key people from the government and the private sector (networks), who need to have priority in their communications in case of an emergency]</w:t>
      </w:r>
    </w:p>
    <w:p w14:paraId="1204FD97" w14:textId="77777777" w:rsidR="005A7630" w:rsidRPr="00DE1BD4" w:rsidRDefault="005A7630" w:rsidP="005A7630"/>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3"/>
        <w:gridCol w:w="3122"/>
        <w:gridCol w:w="1513"/>
        <w:gridCol w:w="2096"/>
      </w:tblGrid>
      <w:tr w:rsidR="005A7630" w:rsidRPr="00DE1BD4" w14:paraId="7FA632DF" w14:textId="77777777" w:rsidTr="00D149AA">
        <w:tc>
          <w:tcPr>
            <w:tcW w:w="2624" w:type="dxa"/>
          </w:tcPr>
          <w:p w14:paraId="6481432C" w14:textId="77777777" w:rsidR="005A7630" w:rsidRPr="00DE1BD4" w:rsidRDefault="005A7630" w:rsidP="007544EB">
            <w:pPr>
              <w:spacing w:before="40" w:after="40"/>
              <w:jc w:val="center"/>
              <w:rPr>
                <w:b/>
                <w:bCs/>
              </w:rPr>
            </w:pPr>
            <w:r w:rsidRPr="00DE1BD4">
              <w:rPr>
                <w:b/>
                <w:bCs/>
              </w:rPr>
              <w:t>Name</w:t>
            </w:r>
          </w:p>
        </w:tc>
        <w:tc>
          <w:tcPr>
            <w:tcW w:w="3122" w:type="dxa"/>
          </w:tcPr>
          <w:p w14:paraId="4DFAED76" w14:textId="77777777" w:rsidR="005A7630" w:rsidRPr="00DE1BD4" w:rsidRDefault="005A7630" w:rsidP="007544EB">
            <w:pPr>
              <w:spacing w:before="40" w:after="40"/>
              <w:jc w:val="center"/>
              <w:rPr>
                <w:b/>
                <w:bCs/>
              </w:rPr>
            </w:pPr>
            <w:r w:rsidRPr="00DE1BD4">
              <w:rPr>
                <w:b/>
                <w:bCs/>
              </w:rPr>
              <w:t>Institution</w:t>
            </w:r>
          </w:p>
        </w:tc>
        <w:tc>
          <w:tcPr>
            <w:tcW w:w="1513" w:type="dxa"/>
          </w:tcPr>
          <w:p w14:paraId="2E74B916" w14:textId="77777777" w:rsidR="005A7630" w:rsidRPr="00DE1BD4" w:rsidRDefault="005A7630" w:rsidP="007544EB">
            <w:pPr>
              <w:spacing w:before="40" w:after="40"/>
              <w:jc w:val="center"/>
              <w:rPr>
                <w:b/>
                <w:bCs/>
              </w:rPr>
            </w:pPr>
            <w:r w:rsidRPr="00DE1BD4">
              <w:rPr>
                <w:b/>
                <w:bCs/>
              </w:rPr>
              <w:t>Private/Public</w:t>
            </w:r>
          </w:p>
        </w:tc>
        <w:tc>
          <w:tcPr>
            <w:tcW w:w="2096" w:type="dxa"/>
          </w:tcPr>
          <w:p w14:paraId="4EED4613" w14:textId="77777777" w:rsidR="005A7630" w:rsidRPr="00DE1BD4" w:rsidRDefault="005A7630" w:rsidP="007544EB">
            <w:pPr>
              <w:spacing w:before="40" w:after="40"/>
              <w:jc w:val="center"/>
              <w:rPr>
                <w:b/>
                <w:bCs/>
              </w:rPr>
            </w:pPr>
            <w:r w:rsidRPr="00DE1BD4">
              <w:rPr>
                <w:b/>
                <w:bCs/>
              </w:rPr>
              <w:t>Contact information</w:t>
            </w:r>
          </w:p>
        </w:tc>
      </w:tr>
      <w:tr w:rsidR="005A7630" w:rsidRPr="00DE1BD4" w14:paraId="7A030C42" w14:textId="77777777" w:rsidTr="00D149AA">
        <w:tc>
          <w:tcPr>
            <w:tcW w:w="2624" w:type="dxa"/>
          </w:tcPr>
          <w:p w14:paraId="25FA8B66" w14:textId="77777777" w:rsidR="005A7630" w:rsidRPr="00DE1BD4" w:rsidRDefault="005A7630" w:rsidP="007544EB">
            <w:pPr>
              <w:spacing w:before="40" w:after="40"/>
            </w:pPr>
          </w:p>
        </w:tc>
        <w:tc>
          <w:tcPr>
            <w:tcW w:w="3122" w:type="dxa"/>
          </w:tcPr>
          <w:p w14:paraId="17C2A199" w14:textId="77777777" w:rsidR="005A7630" w:rsidRPr="00DE1BD4" w:rsidRDefault="005A7630" w:rsidP="007544EB">
            <w:pPr>
              <w:spacing w:before="40" w:after="40"/>
            </w:pPr>
          </w:p>
        </w:tc>
        <w:tc>
          <w:tcPr>
            <w:tcW w:w="1513" w:type="dxa"/>
          </w:tcPr>
          <w:p w14:paraId="20BE2062" w14:textId="77777777" w:rsidR="005A7630" w:rsidRPr="00DE1BD4" w:rsidRDefault="005A7630" w:rsidP="007544EB">
            <w:pPr>
              <w:spacing w:before="40" w:after="40"/>
            </w:pPr>
          </w:p>
        </w:tc>
        <w:tc>
          <w:tcPr>
            <w:tcW w:w="2096" w:type="dxa"/>
          </w:tcPr>
          <w:p w14:paraId="38ED131D" w14:textId="77777777" w:rsidR="005A7630" w:rsidRPr="00DE1BD4" w:rsidRDefault="005A7630" w:rsidP="007544EB">
            <w:pPr>
              <w:spacing w:before="40" w:after="40"/>
            </w:pPr>
          </w:p>
        </w:tc>
      </w:tr>
      <w:tr w:rsidR="005A7630" w:rsidRPr="00DE1BD4" w14:paraId="3D818675" w14:textId="77777777" w:rsidTr="00D149AA">
        <w:tc>
          <w:tcPr>
            <w:tcW w:w="2624" w:type="dxa"/>
          </w:tcPr>
          <w:p w14:paraId="61FA402D" w14:textId="77777777" w:rsidR="005A7630" w:rsidRPr="00DE1BD4" w:rsidRDefault="005A7630" w:rsidP="007544EB">
            <w:pPr>
              <w:spacing w:before="40" w:after="40"/>
            </w:pPr>
          </w:p>
        </w:tc>
        <w:tc>
          <w:tcPr>
            <w:tcW w:w="3122" w:type="dxa"/>
          </w:tcPr>
          <w:p w14:paraId="587CF675" w14:textId="77777777" w:rsidR="005A7630" w:rsidRPr="00DE1BD4" w:rsidRDefault="005A7630" w:rsidP="007544EB">
            <w:pPr>
              <w:spacing w:before="40" w:after="40"/>
            </w:pPr>
          </w:p>
        </w:tc>
        <w:tc>
          <w:tcPr>
            <w:tcW w:w="1513" w:type="dxa"/>
          </w:tcPr>
          <w:p w14:paraId="4D07C6DC" w14:textId="77777777" w:rsidR="005A7630" w:rsidRPr="00DE1BD4" w:rsidRDefault="005A7630" w:rsidP="007544EB">
            <w:pPr>
              <w:spacing w:before="40" w:after="40"/>
            </w:pPr>
          </w:p>
        </w:tc>
        <w:tc>
          <w:tcPr>
            <w:tcW w:w="2096" w:type="dxa"/>
          </w:tcPr>
          <w:p w14:paraId="3E64D664" w14:textId="77777777" w:rsidR="005A7630" w:rsidRPr="00DE1BD4" w:rsidRDefault="005A7630" w:rsidP="007544EB">
            <w:pPr>
              <w:spacing w:before="40" w:after="40"/>
            </w:pPr>
          </w:p>
        </w:tc>
      </w:tr>
    </w:tbl>
    <w:p w14:paraId="2D0FFEF6" w14:textId="77777777" w:rsidR="005A7630" w:rsidRPr="00DE1BD4" w:rsidRDefault="005A7630" w:rsidP="005A7630"/>
    <w:p w14:paraId="59B4EFA5" w14:textId="782082CA" w:rsidR="005A7630" w:rsidRPr="00DE1BD4" w:rsidRDefault="005A7630" w:rsidP="00C528FF">
      <w:pPr>
        <w:pStyle w:val="Heading2"/>
        <w:numPr>
          <w:ilvl w:val="0"/>
          <w:numId w:val="0"/>
        </w:numPr>
      </w:pPr>
      <w:bookmarkStart w:id="586" w:name="_279ka65"/>
      <w:bookmarkStart w:id="587" w:name="_Toc50421964"/>
      <w:bookmarkStart w:id="588" w:name="_Toc90825931"/>
      <w:bookmarkStart w:id="589" w:name="_Toc90826046"/>
      <w:bookmarkStart w:id="590" w:name="_Toc91172702"/>
      <w:bookmarkStart w:id="591" w:name="_Toc91185589"/>
      <w:bookmarkStart w:id="592" w:name="_Toc181885848"/>
      <w:bookmarkEnd w:id="586"/>
      <w:r w:rsidRPr="00DE1BD4">
        <w:t xml:space="preserve">A5. International </w:t>
      </w:r>
      <w:r w:rsidR="00BC3693" w:rsidRPr="00DE1BD4">
        <w:t>S</w:t>
      </w:r>
      <w:r w:rsidRPr="00DE1BD4">
        <w:t>upport</w:t>
      </w:r>
      <w:bookmarkEnd w:id="587"/>
      <w:bookmarkEnd w:id="588"/>
      <w:bookmarkEnd w:id="589"/>
      <w:bookmarkEnd w:id="590"/>
      <w:bookmarkEnd w:id="591"/>
      <w:bookmarkEnd w:id="592"/>
    </w:p>
    <w:p w14:paraId="0D5A6356" w14:textId="77777777" w:rsidR="005A7630" w:rsidRPr="00DE1BD4" w:rsidRDefault="005A7630" w:rsidP="005A7630">
      <w:r w:rsidRPr="00DE1BD4">
        <w:t>[Contact information of key telecom/ICT people/international organizations for disaster relief]</w:t>
      </w:r>
    </w:p>
    <w:p w14:paraId="5FA19E47" w14:textId="77777777" w:rsidR="005A7630" w:rsidRPr="00DE1BD4" w:rsidRDefault="005A7630" w:rsidP="005A7630"/>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4"/>
        <w:gridCol w:w="3851"/>
        <w:gridCol w:w="2790"/>
      </w:tblGrid>
      <w:tr w:rsidR="005A7630" w:rsidRPr="00DE1BD4" w14:paraId="3F17F677" w14:textId="77777777" w:rsidTr="00D149AA">
        <w:tc>
          <w:tcPr>
            <w:tcW w:w="2624" w:type="dxa"/>
          </w:tcPr>
          <w:p w14:paraId="5641E0EF" w14:textId="77777777" w:rsidR="005A7630" w:rsidRPr="00DE1BD4" w:rsidRDefault="005A7630" w:rsidP="007544EB">
            <w:pPr>
              <w:spacing w:before="40" w:after="40"/>
              <w:jc w:val="center"/>
              <w:rPr>
                <w:b/>
                <w:bCs/>
              </w:rPr>
            </w:pPr>
            <w:r w:rsidRPr="00DE1BD4">
              <w:rPr>
                <w:b/>
                <w:bCs/>
              </w:rPr>
              <w:t>Name</w:t>
            </w:r>
          </w:p>
        </w:tc>
        <w:tc>
          <w:tcPr>
            <w:tcW w:w="3851" w:type="dxa"/>
          </w:tcPr>
          <w:p w14:paraId="385F142E" w14:textId="77777777" w:rsidR="005A7630" w:rsidRPr="00DE1BD4" w:rsidRDefault="005A7630" w:rsidP="007544EB">
            <w:pPr>
              <w:spacing w:before="40" w:after="40"/>
              <w:jc w:val="center"/>
              <w:rPr>
                <w:b/>
                <w:bCs/>
              </w:rPr>
            </w:pPr>
            <w:r w:rsidRPr="00DE1BD4">
              <w:rPr>
                <w:b/>
                <w:bCs/>
              </w:rPr>
              <w:t>International Organization</w:t>
            </w:r>
          </w:p>
        </w:tc>
        <w:tc>
          <w:tcPr>
            <w:tcW w:w="2790" w:type="dxa"/>
          </w:tcPr>
          <w:p w14:paraId="3295FD02" w14:textId="77777777" w:rsidR="005A7630" w:rsidRPr="00DE1BD4" w:rsidRDefault="005A7630" w:rsidP="007544EB">
            <w:pPr>
              <w:spacing w:before="40" w:after="40"/>
              <w:jc w:val="center"/>
              <w:rPr>
                <w:b/>
                <w:bCs/>
              </w:rPr>
            </w:pPr>
            <w:r w:rsidRPr="00DE1BD4">
              <w:rPr>
                <w:b/>
                <w:bCs/>
              </w:rPr>
              <w:t>Contact information</w:t>
            </w:r>
          </w:p>
        </w:tc>
      </w:tr>
      <w:tr w:rsidR="005A7630" w:rsidRPr="00DE1BD4" w14:paraId="77628676" w14:textId="77777777" w:rsidTr="00D149AA">
        <w:tc>
          <w:tcPr>
            <w:tcW w:w="2624" w:type="dxa"/>
          </w:tcPr>
          <w:p w14:paraId="15570AAD" w14:textId="77777777" w:rsidR="005A7630" w:rsidRPr="00DE1BD4" w:rsidRDefault="005A7630" w:rsidP="007544EB">
            <w:pPr>
              <w:spacing w:before="40" w:after="40"/>
            </w:pPr>
          </w:p>
        </w:tc>
        <w:tc>
          <w:tcPr>
            <w:tcW w:w="3851" w:type="dxa"/>
          </w:tcPr>
          <w:p w14:paraId="47414159" w14:textId="77777777" w:rsidR="005A7630" w:rsidRPr="00DE1BD4" w:rsidRDefault="005A7630" w:rsidP="007544EB">
            <w:pPr>
              <w:spacing w:before="40" w:after="40"/>
            </w:pPr>
          </w:p>
        </w:tc>
        <w:tc>
          <w:tcPr>
            <w:tcW w:w="2790" w:type="dxa"/>
          </w:tcPr>
          <w:p w14:paraId="2D74DD82" w14:textId="77777777" w:rsidR="005A7630" w:rsidRPr="00DE1BD4" w:rsidRDefault="005A7630" w:rsidP="007544EB">
            <w:pPr>
              <w:spacing w:before="40" w:after="40"/>
            </w:pPr>
          </w:p>
        </w:tc>
      </w:tr>
      <w:tr w:rsidR="005A7630" w:rsidRPr="00DE1BD4" w14:paraId="6E6D9A62" w14:textId="77777777" w:rsidTr="00D149AA">
        <w:tc>
          <w:tcPr>
            <w:tcW w:w="2624" w:type="dxa"/>
          </w:tcPr>
          <w:p w14:paraId="19CD4C97" w14:textId="77777777" w:rsidR="005A7630" w:rsidRPr="00DE1BD4" w:rsidRDefault="005A7630" w:rsidP="007544EB">
            <w:pPr>
              <w:spacing w:before="40" w:after="40"/>
            </w:pPr>
          </w:p>
        </w:tc>
        <w:tc>
          <w:tcPr>
            <w:tcW w:w="3851" w:type="dxa"/>
          </w:tcPr>
          <w:p w14:paraId="73FFE9BC" w14:textId="77777777" w:rsidR="005A7630" w:rsidRPr="00DE1BD4" w:rsidRDefault="005A7630" w:rsidP="007544EB">
            <w:pPr>
              <w:spacing w:before="40" w:after="40"/>
            </w:pPr>
          </w:p>
        </w:tc>
        <w:tc>
          <w:tcPr>
            <w:tcW w:w="2790" w:type="dxa"/>
          </w:tcPr>
          <w:p w14:paraId="3BB6C9EF" w14:textId="77777777" w:rsidR="005A7630" w:rsidRPr="00DE1BD4" w:rsidRDefault="005A7630" w:rsidP="007544EB">
            <w:pPr>
              <w:spacing w:before="40" w:after="40"/>
            </w:pPr>
          </w:p>
        </w:tc>
      </w:tr>
    </w:tbl>
    <w:p w14:paraId="7DC88328" w14:textId="77777777" w:rsidR="005A7630" w:rsidRPr="00DE1BD4" w:rsidRDefault="005A7630" w:rsidP="005A7630"/>
    <w:p w14:paraId="105C828E" w14:textId="47D96E1C" w:rsidR="005A7630" w:rsidRPr="00DE1BD4" w:rsidRDefault="005A7630" w:rsidP="00C528FF">
      <w:pPr>
        <w:pStyle w:val="Heading2"/>
        <w:numPr>
          <w:ilvl w:val="0"/>
          <w:numId w:val="0"/>
        </w:numPr>
      </w:pPr>
      <w:bookmarkStart w:id="593" w:name="_meukdy"/>
      <w:bookmarkStart w:id="594" w:name="_Toc50421965"/>
      <w:bookmarkStart w:id="595" w:name="_Toc90825932"/>
      <w:bookmarkStart w:id="596" w:name="_Toc90826047"/>
      <w:bookmarkStart w:id="597" w:name="_Toc91172703"/>
      <w:bookmarkStart w:id="598" w:name="_Toc91185590"/>
      <w:bookmarkStart w:id="599" w:name="_Toc181885849"/>
      <w:bookmarkEnd w:id="593"/>
      <w:r w:rsidRPr="00DE1BD4">
        <w:t>A6. Standard Operating Procedures</w:t>
      </w:r>
      <w:bookmarkEnd w:id="594"/>
      <w:bookmarkEnd w:id="595"/>
      <w:bookmarkEnd w:id="596"/>
      <w:bookmarkEnd w:id="597"/>
      <w:bookmarkEnd w:id="598"/>
      <w:bookmarkEnd w:id="599"/>
    </w:p>
    <w:p w14:paraId="48094027" w14:textId="7B9C1A60" w:rsidR="005A7630" w:rsidRPr="00DE1BD4" w:rsidRDefault="005A7630" w:rsidP="005A7630">
      <w:r w:rsidRPr="00DE1BD4">
        <w:t xml:space="preserve">[SOPs for communications within </w:t>
      </w:r>
      <w:r w:rsidR="00D27514" w:rsidRPr="00DE1BD4">
        <w:t xml:space="preserve">NEMO </w:t>
      </w:r>
      <w:r w:rsidRPr="00DE1BD4">
        <w:t xml:space="preserve">(including National Committees, etc.), and between </w:t>
      </w:r>
      <w:r w:rsidR="00D27514" w:rsidRPr="00DE1BD4">
        <w:t>NEMO</w:t>
      </w:r>
      <w:r w:rsidR="006E4C8F" w:rsidRPr="00DE1BD4">
        <w:t xml:space="preserve"> </w:t>
      </w:r>
      <w:r w:rsidRPr="00DE1BD4">
        <w:t xml:space="preserve">and </w:t>
      </w:r>
      <w:r w:rsidR="006E4C8F" w:rsidRPr="00DE1BD4">
        <w:t>regional c</w:t>
      </w:r>
      <w:r w:rsidRPr="00DE1BD4">
        <w:t>ommittees, high-level government authorities, first responders, etc. What means of communication will be used? (including wireless technology, frequencies, equipment, etc.) What are alternative means of communication?]</w:t>
      </w:r>
    </w:p>
    <w:p w14:paraId="25EEE559" w14:textId="77777777" w:rsidR="005A7630" w:rsidRPr="00DE1BD4" w:rsidRDefault="005A7630" w:rsidP="005A7630"/>
    <w:p w14:paraId="58E13E41" w14:textId="5BA0D8C0" w:rsidR="005A7630" w:rsidRPr="00DE1BD4" w:rsidRDefault="005A7630" w:rsidP="00C528FF">
      <w:pPr>
        <w:pStyle w:val="Heading2"/>
        <w:numPr>
          <w:ilvl w:val="0"/>
          <w:numId w:val="0"/>
        </w:numPr>
      </w:pPr>
      <w:bookmarkStart w:id="600" w:name="_36ei31r"/>
      <w:bookmarkStart w:id="601" w:name="_Toc50421966"/>
      <w:bookmarkStart w:id="602" w:name="_Toc90825933"/>
      <w:bookmarkStart w:id="603" w:name="_Toc90826048"/>
      <w:bookmarkStart w:id="604" w:name="_Toc91172704"/>
      <w:bookmarkStart w:id="605" w:name="_Toc91185591"/>
      <w:bookmarkStart w:id="606" w:name="_Toc181885850"/>
      <w:bookmarkEnd w:id="600"/>
      <w:r w:rsidRPr="00DE1BD4">
        <w:t>A7. Contingency Plans</w:t>
      </w:r>
      <w:bookmarkEnd w:id="601"/>
      <w:bookmarkEnd w:id="602"/>
      <w:bookmarkEnd w:id="603"/>
      <w:bookmarkEnd w:id="604"/>
      <w:bookmarkEnd w:id="605"/>
      <w:bookmarkEnd w:id="606"/>
    </w:p>
    <w:p w14:paraId="541E22EC" w14:textId="77777777" w:rsidR="005A7630" w:rsidRPr="00DE1BD4" w:rsidRDefault="005A7630" w:rsidP="005A7630">
      <w:r w:rsidRPr="00DE1BD4">
        <w:t>[Summary of contingency plans from telecom/ICT services providers. The detailed plans are generally not made publicly available.]</w:t>
      </w:r>
    </w:p>
    <w:p w14:paraId="0CBFF021" w14:textId="77777777" w:rsidR="00B0060C" w:rsidRPr="00DE1BD4" w:rsidRDefault="00B0060C" w:rsidP="005A7630"/>
    <w:p w14:paraId="10158249" w14:textId="77777777" w:rsidR="004A576F" w:rsidRPr="00DE1BD4" w:rsidRDefault="004A576F">
      <w:pPr>
        <w:jc w:val="left"/>
        <w:rPr>
          <w:color w:val="2F5496"/>
          <w:sz w:val="32"/>
          <w:szCs w:val="26"/>
        </w:rPr>
      </w:pPr>
      <w:r w:rsidRPr="00DE1BD4">
        <w:br w:type="page"/>
      </w:r>
    </w:p>
    <w:p w14:paraId="5212F038" w14:textId="7E07E628" w:rsidR="002F17CB" w:rsidRPr="00DE1BD4" w:rsidRDefault="002F17CB" w:rsidP="002F17CB">
      <w:pPr>
        <w:pStyle w:val="Heading2"/>
        <w:numPr>
          <w:ilvl w:val="0"/>
          <w:numId w:val="0"/>
        </w:numPr>
      </w:pPr>
      <w:bookmarkStart w:id="607" w:name="_Toc181885851"/>
      <w:r w:rsidRPr="00DE1BD4">
        <w:t>B1. A Simplified Guide to Using the NETP</w:t>
      </w:r>
      <w:bookmarkEnd w:id="607"/>
    </w:p>
    <w:p w14:paraId="77682213" w14:textId="77777777" w:rsidR="004A576F" w:rsidRPr="00DE1BD4" w:rsidRDefault="004A576F" w:rsidP="004A576F">
      <w:pPr>
        <w:spacing w:after="0" w:line="240" w:lineRule="auto"/>
        <w:textAlignment w:val="baseline"/>
        <w:rPr>
          <w:rFonts w:ascii="Segoe UI" w:eastAsia="Times New Roman" w:hAnsi="Segoe UI" w:cs="Segoe UI"/>
          <w:sz w:val="18"/>
          <w:szCs w:val="18"/>
          <w:lang w:eastAsia="en-AU"/>
        </w:rPr>
      </w:pPr>
      <w:r w:rsidRPr="00DE1BD4">
        <w:rPr>
          <w:rFonts w:eastAsia="Times New Roman"/>
          <w:lang w:eastAsia="en-AU"/>
        </w:rPr>
        <w:t>The NETP is a tool for consideration of the policies, organizational structure, and methods of coordination between the different actors during the four phases of disaster management;</w:t>
      </w:r>
    </w:p>
    <w:p w14:paraId="70F0283D" w14:textId="77777777" w:rsidR="004A576F" w:rsidRPr="00DE1BD4" w:rsidRDefault="004A576F" w:rsidP="00963CF3">
      <w:pPr>
        <w:numPr>
          <w:ilvl w:val="0"/>
          <w:numId w:val="28"/>
        </w:numPr>
        <w:spacing w:before="240" w:after="0" w:line="240" w:lineRule="auto"/>
        <w:ind w:left="1080" w:firstLine="0"/>
        <w:jc w:val="left"/>
        <w:textAlignment w:val="baseline"/>
        <w:rPr>
          <w:rFonts w:eastAsia="Times New Roman"/>
          <w:lang w:eastAsia="en-AU"/>
        </w:rPr>
      </w:pPr>
      <w:r w:rsidRPr="00DE1BD4">
        <w:rPr>
          <w:rFonts w:eastAsia="Times New Roman"/>
          <w:lang w:eastAsia="en-AU"/>
        </w:rPr>
        <w:t>Mitigation, </w:t>
      </w:r>
    </w:p>
    <w:p w14:paraId="48449762" w14:textId="77777777" w:rsidR="004A576F" w:rsidRPr="00DE1BD4" w:rsidRDefault="004A576F" w:rsidP="00963CF3">
      <w:pPr>
        <w:numPr>
          <w:ilvl w:val="0"/>
          <w:numId w:val="29"/>
        </w:numPr>
        <w:spacing w:after="0" w:line="240" w:lineRule="auto"/>
        <w:ind w:left="1080" w:firstLine="0"/>
        <w:jc w:val="left"/>
        <w:textAlignment w:val="baseline"/>
        <w:rPr>
          <w:rFonts w:eastAsia="Times New Roman"/>
          <w:lang w:eastAsia="en-AU"/>
        </w:rPr>
      </w:pPr>
      <w:r w:rsidRPr="00DE1BD4">
        <w:rPr>
          <w:rFonts w:eastAsia="Times New Roman"/>
          <w:lang w:eastAsia="en-AU"/>
        </w:rPr>
        <w:t>Preparedness,</w:t>
      </w:r>
    </w:p>
    <w:p w14:paraId="0A7061BF" w14:textId="77777777" w:rsidR="004A576F" w:rsidRPr="00DE1BD4" w:rsidRDefault="004A576F" w:rsidP="00963CF3">
      <w:pPr>
        <w:numPr>
          <w:ilvl w:val="0"/>
          <w:numId w:val="30"/>
        </w:numPr>
        <w:spacing w:after="0" w:line="240" w:lineRule="auto"/>
        <w:ind w:left="1080" w:firstLine="0"/>
        <w:jc w:val="left"/>
        <w:textAlignment w:val="baseline"/>
        <w:rPr>
          <w:rFonts w:eastAsia="Times New Roman"/>
          <w:lang w:eastAsia="en-AU"/>
        </w:rPr>
      </w:pPr>
      <w:r w:rsidRPr="00DE1BD4">
        <w:rPr>
          <w:rFonts w:eastAsia="Times New Roman"/>
          <w:lang w:eastAsia="en-AU"/>
        </w:rPr>
        <w:t>Response and</w:t>
      </w:r>
    </w:p>
    <w:p w14:paraId="14629962" w14:textId="77777777" w:rsidR="004A576F" w:rsidRPr="00DE1BD4" w:rsidRDefault="004A576F" w:rsidP="00963CF3">
      <w:pPr>
        <w:numPr>
          <w:ilvl w:val="0"/>
          <w:numId w:val="31"/>
        </w:numPr>
        <w:spacing w:after="0" w:line="240" w:lineRule="auto"/>
        <w:ind w:left="1080" w:firstLine="0"/>
        <w:jc w:val="left"/>
        <w:textAlignment w:val="baseline"/>
        <w:rPr>
          <w:rFonts w:eastAsia="Times New Roman"/>
          <w:lang w:eastAsia="en-AU"/>
        </w:rPr>
      </w:pPr>
      <w:r w:rsidRPr="00DE1BD4">
        <w:rPr>
          <w:rFonts w:eastAsia="Times New Roman"/>
          <w:lang w:eastAsia="en-AU"/>
        </w:rPr>
        <w:t>Recovery.</w:t>
      </w:r>
    </w:p>
    <w:p w14:paraId="25A2F289"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p>
    <w:p w14:paraId="773F3281" w14:textId="09B4CD89"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 xml:space="preserve">The initial preparation, and subsequent annual update of the NETP is an opportunity for stakeholder communication and exchange of information about natural hazards, disaster risks, what telecom/ICT resources and assets exist in </w:t>
      </w:r>
      <w:r w:rsidR="00DB5FB6" w:rsidRPr="00DE1BD4">
        <w:rPr>
          <w:rFonts w:eastAsia="Times New Roman"/>
          <w:color w:val="000000"/>
          <w:shd w:val="clear" w:color="auto" w:fill="FFFFFF"/>
          <w:lang w:eastAsia="en-AU"/>
        </w:rPr>
        <w:t>T</w:t>
      </w:r>
      <w:r w:rsidR="00DE009B">
        <w:rPr>
          <w:rFonts w:eastAsia="Times New Roman"/>
          <w:color w:val="000000"/>
          <w:shd w:val="clear" w:color="auto" w:fill="FFFFFF"/>
          <w:lang w:eastAsia="en-AU"/>
        </w:rPr>
        <w:t>he Gambia</w:t>
      </w:r>
      <w:r w:rsidRPr="00DE1BD4">
        <w:rPr>
          <w:rFonts w:eastAsia="Times New Roman"/>
          <w:color w:val="000000"/>
          <w:shd w:val="clear" w:color="auto" w:fill="FFFFFF"/>
          <w:lang w:eastAsia="en-AU"/>
        </w:rPr>
        <w:t>, and how to use telecommunications/ICTs to respond to disaster events at government levels, within communities, and between public and private organizations.</w:t>
      </w:r>
    </w:p>
    <w:p w14:paraId="4E817CAB"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p>
    <w:p w14:paraId="5898850F" w14:textId="32816C4A"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 xml:space="preserve">The NETP is used to establish Cross-sector information sharing, planning, coordination and working relationships and to identify gaps in </w:t>
      </w:r>
      <w:r w:rsidR="00487B2C">
        <w:rPr>
          <w:rFonts w:eastAsia="Times New Roman"/>
          <w:color w:val="000000"/>
          <w:shd w:val="clear" w:color="auto" w:fill="FFFFFF"/>
          <w:lang w:eastAsia="en-AU"/>
        </w:rPr>
        <w:t>T</w:t>
      </w:r>
      <w:r w:rsidR="00DE009B">
        <w:rPr>
          <w:rFonts w:eastAsia="Times New Roman"/>
          <w:color w:val="000000"/>
          <w:shd w:val="clear" w:color="auto" w:fill="FFFFFF"/>
          <w:lang w:eastAsia="en-AU"/>
        </w:rPr>
        <w:t>he Ga</w:t>
      </w:r>
      <w:r w:rsidR="000105C9">
        <w:rPr>
          <w:rFonts w:eastAsia="Times New Roman"/>
          <w:color w:val="000000"/>
          <w:shd w:val="clear" w:color="auto" w:fill="FFFFFF"/>
          <w:lang w:eastAsia="en-AU"/>
        </w:rPr>
        <w:t>mbia</w:t>
      </w:r>
      <w:r w:rsidRPr="00DE1BD4">
        <w:rPr>
          <w:rFonts w:eastAsia="Times New Roman"/>
          <w:color w:val="000000"/>
          <w:shd w:val="clear" w:color="auto" w:fill="FFFFFF"/>
          <w:lang w:eastAsia="en-AU"/>
        </w:rPr>
        <w:t>’s emergency telecommunications capacity. By working through the action items, the gaps are addressed over time and the systems and processes are improved.</w:t>
      </w:r>
    </w:p>
    <w:p w14:paraId="6E358197" w14:textId="77777777" w:rsidR="004A576F" w:rsidRPr="00DE1BD4" w:rsidRDefault="004A576F" w:rsidP="004A576F">
      <w:pPr>
        <w:spacing w:after="0" w:line="240" w:lineRule="auto"/>
        <w:textAlignment w:val="baseline"/>
        <w:rPr>
          <w:rFonts w:ascii="Times New Roman" w:eastAsia="Times New Roman" w:hAnsi="Times New Roman" w:cs="Times New Roman"/>
          <w:color w:val="000000"/>
          <w:sz w:val="24"/>
          <w:szCs w:val="24"/>
          <w:shd w:val="clear" w:color="auto" w:fill="FFFFFF"/>
          <w:lang w:eastAsia="en-AU"/>
        </w:rPr>
      </w:pPr>
    </w:p>
    <w:p w14:paraId="15B96256" w14:textId="75FF685A"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 xml:space="preserve">The NETP (without the annexes attached) is intended to be a publicly available document to inform all persons and institutions involved in disaster risk management in </w:t>
      </w:r>
      <w:r w:rsidR="00DB5FB6" w:rsidRPr="00DE1BD4">
        <w:rPr>
          <w:rFonts w:eastAsia="Times New Roman"/>
          <w:color w:val="000000"/>
          <w:shd w:val="clear" w:color="auto" w:fill="FFFFFF"/>
          <w:lang w:eastAsia="en-AU"/>
        </w:rPr>
        <w:t>T</w:t>
      </w:r>
      <w:r w:rsidR="000105C9">
        <w:rPr>
          <w:rFonts w:eastAsia="Times New Roman"/>
          <w:color w:val="000000"/>
          <w:shd w:val="clear" w:color="auto" w:fill="FFFFFF"/>
          <w:lang w:eastAsia="en-AU"/>
        </w:rPr>
        <w:t>he Gambia</w:t>
      </w:r>
      <w:r w:rsidRPr="00DE1BD4">
        <w:rPr>
          <w:rFonts w:eastAsia="Times New Roman"/>
          <w:color w:val="000000"/>
          <w:shd w:val="clear" w:color="auto" w:fill="FFFFFF"/>
          <w:lang w:eastAsia="en-AU"/>
        </w:rPr>
        <w:t>, including authorities at all levels of government, the private sector, and other actors in the telecom/ICT and emergency aid sectors.</w:t>
      </w:r>
    </w:p>
    <w:p w14:paraId="03FE470D"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p>
    <w:p w14:paraId="4CF86DFA"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The first step in using the NETP is to complete the inventory of people and assets that form the annexes to the document. These annexes need to be reviewed and updated annually or more often if changes occur.</w:t>
      </w:r>
    </w:p>
    <w:p w14:paraId="719FE8C2"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p>
    <w:p w14:paraId="1EB14B9F" w14:textId="3F1138CA"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 xml:space="preserve">The next step is to begin working on the </w:t>
      </w:r>
      <w:r w:rsidR="005C216D" w:rsidRPr="00DE1BD4">
        <w:rPr>
          <w:rFonts w:eastAsia="Times New Roman"/>
          <w:color w:val="000000"/>
          <w:shd w:val="clear" w:color="auto" w:fill="FFFFFF"/>
          <w:lang w:eastAsia="en-AU"/>
        </w:rPr>
        <w:t>Implementation Actions</w:t>
      </w:r>
      <w:r w:rsidRPr="00DE1BD4">
        <w:rPr>
          <w:rFonts w:eastAsia="Times New Roman"/>
          <w:color w:val="000000"/>
          <w:shd w:val="clear" w:color="auto" w:fill="FFFFFF"/>
          <w:lang w:eastAsia="en-AU"/>
        </w:rPr>
        <w:t xml:space="preserve"> and to address any that can be dealt with immediately. More complex or costly action items (</w:t>
      </w:r>
      <w:proofErr w:type="spellStart"/>
      <w:r w:rsidRPr="00DE1BD4">
        <w:rPr>
          <w:rFonts w:eastAsia="Times New Roman"/>
          <w:color w:val="000000"/>
          <w:shd w:val="clear" w:color="auto" w:fill="FFFFFF"/>
          <w:lang w:eastAsia="en-AU"/>
        </w:rPr>
        <w:t>ie</w:t>
      </w:r>
      <w:proofErr w:type="spellEnd"/>
      <w:r w:rsidRPr="00DE1BD4">
        <w:rPr>
          <w:rFonts w:eastAsia="Times New Roman"/>
          <w:color w:val="000000"/>
          <w:shd w:val="clear" w:color="auto" w:fill="FFFFFF"/>
          <w:lang w:eastAsia="en-AU"/>
        </w:rPr>
        <w:t>. identified gaps) may require the government to develop a scope of works that can be used in discussions with bilateral partners or industry segment partners for funding of these projects.</w:t>
      </w:r>
    </w:p>
    <w:p w14:paraId="12AED108"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p>
    <w:p w14:paraId="5795D135" w14:textId="324D2594"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Use the action items to review and add to the National Telecommunications Cluster’s schedule of:</w:t>
      </w:r>
    </w:p>
    <w:p w14:paraId="45AF359D" w14:textId="77777777" w:rsidR="00771219" w:rsidRPr="00DE1BD4" w:rsidRDefault="00771219" w:rsidP="004A576F">
      <w:pPr>
        <w:spacing w:after="0" w:line="240" w:lineRule="auto"/>
        <w:textAlignment w:val="baseline"/>
        <w:rPr>
          <w:rFonts w:eastAsia="Times New Roman"/>
          <w:color w:val="000000"/>
          <w:shd w:val="clear" w:color="auto" w:fill="FFFFFF"/>
          <w:lang w:eastAsia="en-AU"/>
        </w:rPr>
      </w:pPr>
    </w:p>
    <w:p w14:paraId="2987CC07"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 xml:space="preserve">Planning/review workshops and meetings </w:t>
      </w:r>
    </w:p>
    <w:p w14:paraId="59AADFFD"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Drills</w:t>
      </w:r>
    </w:p>
    <w:p w14:paraId="0B5FD6A3"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Equipment tests</w:t>
      </w:r>
    </w:p>
    <w:p w14:paraId="76B9EA00"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Equipment maintenance</w:t>
      </w:r>
    </w:p>
    <w:p w14:paraId="55530A72"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Training events</w:t>
      </w:r>
    </w:p>
    <w:p w14:paraId="6DC48869"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Data collection from operators</w:t>
      </w:r>
    </w:p>
    <w:p w14:paraId="27B20B8C" w14:textId="77777777" w:rsidR="004A576F" w:rsidRPr="00DE1BD4" w:rsidRDefault="004A576F" w:rsidP="00963CF3">
      <w:pPr>
        <w:numPr>
          <w:ilvl w:val="1"/>
          <w:numId w:val="30"/>
        </w:numPr>
        <w:spacing w:after="0" w:line="240" w:lineRule="auto"/>
        <w:jc w:val="left"/>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Checking compliance of operators</w:t>
      </w:r>
    </w:p>
    <w:p w14:paraId="7471C6CF"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p>
    <w:p w14:paraId="4BE4E1F1" w14:textId="77777777" w:rsidR="004A576F" w:rsidRPr="00DE1BD4" w:rsidRDefault="004A576F" w:rsidP="004A576F">
      <w:pPr>
        <w:spacing w:after="0" w:line="240" w:lineRule="auto"/>
        <w:textAlignment w:val="baseline"/>
        <w:rPr>
          <w:rFonts w:eastAsia="Times New Roman"/>
          <w:color w:val="000000"/>
          <w:shd w:val="clear" w:color="auto" w:fill="FFFFFF"/>
          <w:lang w:eastAsia="en-AU"/>
        </w:rPr>
      </w:pPr>
      <w:r w:rsidRPr="00DE1BD4">
        <w:rPr>
          <w:rFonts w:eastAsia="Times New Roman"/>
          <w:color w:val="000000"/>
          <w:shd w:val="clear" w:color="auto" w:fill="FFFFFF"/>
          <w:lang w:eastAsia="en-AU"/>
        </w:rPr>
        <w:t>The NETP can also be used as the basis for the development of standard operating procedures and for workshops and collaborative projects with regional partners who have also recently been through the process of developing their own NETPs. This may provide an opportunity to share knowledge, to share financial or ICT resources on common projects and capacity building, and to further develop the coordination and relationships that become vital in a disaster response.</w:t>
      </w:r>
    </w:p>
    <w:p w14:paraId="5AED062E" w14:textId="4067C663" w:rsidR="002F17CB" w:rsidRPr="00DE1BD4" w:rsidRDefault="002F17CB" w:rsidP="005A7630"/>
    <w:p w14:paraId="0034F433" w14:textId="77777777" w:rsidR="002F17CB" w:rsidRPr="00DE1BD4" w:rsidRDefault="002F17CB" w:rsidP="005A7630">
      <w:pPr>
        <w:sectPr w:rsidR="002F17CB" w:rsidRPr="00DE1BD4" w:rsidSect="0017248A">
          <w:headerReference w:type="even" r:id="rId50"/>
          <w:headerReference w:type="default" r:id="rId51"/>
          <w:footerReference w:type="even" r:id="rId52"/>
          <w:footerReference w:type="default" r:id="rId53"/>
          <w:headerReference w:type="first" r:id="rId54"/>
          <w:pgSz w:w="11906" w:h="16838" w:code="9"/>
          <w:pgMar w:top="1417" w:right="1701" w:bottom="1135" w:left="1701" w:header="708" w:footer="555" w:gutter="0"/>
          <w:cols w:space="708"/>
          <w:titlePg/>
          <w:docGrid w:linePitch="360"/>
        </w:sectPr>
      </w:pPr>
    </w:p>
    <w:p w14:paraId="0B211C79" w14:textId="38E7048A" w:rsidR="00D813F0" w:rsidRPr="00DE1BD4" w:rsidRDefault="004A039F" w:rsidP="00BE529D">
      <w:pPr>
        <w:pStyle w:val="NoNumber"/>
      </w:pPr>
      <w:bookmarkStart w:id="608" w:name="_1ljsd9k"/>
      <w:bookmarkStart w:id="609" w:name="_Toc90826049"/>
      <w:bookmarkStart w:id="610" w:name="_Toc91172705"/>
      <w:bookmarkStart w:id="611" w:name="_Toc91185592"/>
      <w:bookmarkStart w:id="612" w:name="_Toc181885852"/>
      <w:bookmarkEnd w:id="608"/>
      <w:r w:rsidRPr="00DE1BD4">
        <w:t>Acronyms</w:t>
      </w:r>
      <w:bookmarkEnd w:id="609"/>
      <w:bookmarkEnd w:id="610"/>
      <w:bookmarkEnd w:id="611"/>
      <w:bookmarkEnd w:id="612"/>
    </w:p>
    <w:p w14:paraId="50ABDD52" w14:textId="77777777" w:rsidR="00C379EB" w:rsidRPr="00DE1BD4" w:rsidRDefault="00C379EB" w:rsidP="000B5979">
      <w:r w:rsidRPr="00DE1BD4">
        <w:t>BGAN Broadband Global Area Network</w:t>
      </w:r>
    </w:p>
    <w:p w14:paraId="4CD9B3E8" w14:textId="77777777" w:rsidR="00C379EB" w:rsidRDefault="00C379EB" w:rsidP="000B5979">
      <w:r w:rsidRPr="00DE1BD4">
        <w:t>CAP Common Alerting Protocol</w:t>
      </w:r>
    </w:p>
    <w:p w14:paraId="47387DE1" w14:textId="2AEC627E" w:rsidR="00321479" w:rsidRPr="00DE1BD4" w:rsidRDefault="00321479" w:rsidP="000B5979">
      <w:r>
        <w:t>CB Cell Broadcast</w:t>
      </w:r>
    </w:p>
    <w:p w14:paraId="56D7AC2A" w14:textId="77777777" w:rsidR="00C379EB" w:rsidRPr="00DE1BD4" w:rsidRDefault="00C379EB" w:rsidP="000B5979">
      <w:r w:rsidRPr="00DE1BD4">
        <w:t>CCA Climate Change Adaptation</w:t>
      </w:r>
    </w:p>
    <w:p w14:paraId="2AF49BC7" w14:textId="77777777" w:rsidR="00C379EB" w:rsidRPr="00DE1BD4" w:rsidRDefault="00C379EB" w:rsidP="000B5979">
      <w:r w:rsidRPr="00DE1BD4">
        <w:t>CCC Crisis Connectivity Charter</w:t>
      </w:r>
    </w:p>
    <w:p w14:paraId="43F62044" w14:textId="77777777" w:rsidR="00C379EB" w:rsidRPr="00DE1BD4" w:rsidRDefault="00C379EB" w:rsidP="000B5979">
      <w:r w:rsidRPr="00DE1BD4">
        <w:t>CREWS Climate Risk and Early Warning Systems</w:t>
      </w:r>
    </w:p>
    <w:p w14:paraId="5440AAB1" w14:textId="77777777" w:rsidR="00C379EB" w:rsidRPr="00DE1BD4" w:rsidRDefault="00C379EB" w:rsidP="000B5979">
      <w:r w:rsidRPr="00DE1BD4">
        <w:t>CSO Civil Society Organisation</w:t>
      </w:r>
    </w:p>
    <w:p w14:paraId="4FE127E9" w14:textId="77777777" w:rsidR="00C379EB" w:rsidRPr="00DE1BD4" w:rsidRDefault="00C379EB" w:rsidP="000B5979">
      <w:r w:rsidRPr="00DE1BD4">
        <w:t>DC Disaster Controller</w:t>
      </w:r>
    </w:p>
    <w:p w14:paraId="0BC4E6CC" w14:textId="77777777" w:rsidR="00C379EB" w:rsidRDefault="00C379EB" w:rsidP="000B5979">
      <w:r w:rsidRPr="00DE1BD4">
        <w:t>DCM Disaster Connectivity Map</w:t>
      </w:r>
    </w:p>
    <w:p w14:paraId="1F401183" w14:textId="18ADE2FA" w:rsidR="00763B09" w:rsidRPr="00DE1BD4" w:rsidRDefault="00763B09" w:rsidP="000B5979">
      <w:r>
        <w:t>DMD Disaster Management Department</w:t>
      </w:r>
    </w:p>
    <w:p w14:paraId="1BD6C8B9" w14:textId="77777777" w:rsidR="00C379EB" w:rsidRPr="00DE1BD4" w:rsidRDefault="00C379EB" w:rsidP="000B5979">
      <w:r w:rsidRPr="00DE1BD4">
        <w:t>DRM Disaster Risk Management</w:t>
      </w:r>
    </w:p>
    <w:p w14:paraId="20BE7181" w14:textId="77777777" w:rsidR="00C379EB" w:rsidRPr="00DE1BD4" w:rsidRDefault="00C379EB" w:rsidP="000B5979">
      <w:r w:rsidRPr="00DE1BD4">
        <w:t>DRR Disaster Risk Reduction</w:t>
      </w:r>
    </w:p>
    <w:p w14:paraId="45152021" w14:textId="77777777" w:rsidR="00C379EB" w:rsidRPr="00DE1BD4" w:rsidRDefault="00C379EB" w:rsidP="000B5979">
      <w:r w:rsidRPr="00DE1BD4">
        <w:t>DSL Digital Subscriber Line</w:t>
      </w:r>
    </w:p>
    <w:p w14:paraId="4AA81970" w14:textId="77777777" w:rsidR="00C379EB" w:rsidRPr="00DE1BD4" w:rsidRDefault="00C379EB" w:rsidP="000B5979">
      <w:r w:rsidRPr="00DE1BD4">
        <w:t>EOC Emergency Operations Centre</w:t>
      </w:r>
    </w:p>
    <w:p w14:paraId="2DE4BB80" w14:textId="77777777" w:rsidR="00C379EB" w:rsidRPr="00DE1BD4" w:rsidRDefault="00C379EB" w:rsidP="000B5979">
      <w:r w:rsidRPr="00DE1BD4">
        <w:t>EPR Emergency Preparedness and Response</w:t>
      </w:r>
    </w:p>
    <w:p w14:paraId="3AF9E0DC" w14:textId="77777777" w:rsidR="00C379EB" w:rsidRPr="00DE1BD4" w:rsidRDefault="00C379EB" w:rsidP="000B5979">
      <w:r w:rsidRPr="00DE1BD4">
        <w:t>ETC Emergency Telecommunications Cluster</w:t>
      </w:r>
    </w:p>
    <w:p w14:paraId="1F343D14" w14:textId="77777777" w:rsidR="00C379EB" w:rsidRPr="00DE1BD4" w:rsidRDefault="00C379EB" w:rsidP="000B5979">
      <w:r w:rsidRPr="00DE1BD4">
        <w:t>EWS Early Warning System</w:t>
      </w:r>
    </w:p>
    <w:p w14:paraId="3217E3FC" w14:textId="77777777" w:rsidR="00C379EB" w:rsidRPr="00DE1BD4" w:rsidRDefault="00C379EB" w:rsidP="000B5979">
      <w:r w:rsidRPr="00DE1BD4">
        <w:t>FAO Food and Agriculture Organisation</w:t>
      </w:r>
    </w:p>
    <w:p w14:paraId="64B56C9D" w14:textId="77777777" w:rsidR="00C379EB" w:rsidRPr="00DE1BD4" w:rsidRDefault="00C379EB" w:rsidP="000B5979">
      <w:r w:rsidRPr="00DE1BD4">
        <w:t>GEO Geostationary Earth Orbit</w:t>
      </w:r>
    </w:p>
    <w:p w14:paraId="1F14B168" w14:textId="77777777" w:rsidR="00C379EB" w:rsidRDefault="00C379EB" w:rsidP="000B5979">
      <w:r w:rsidRPr="00DE1BD4">
        <w:t>GIS Geographic Information System</w:t>
      </w:r>
    </w:p>
    <w:p w14:paraId="29B675E0" w14:textId="3FB8D758" w:rsidR="009276F5" w:rsidRPr="00DE1BD4" w:rsidRDefault="009276F5" w:rsidP="000B5979">
      <w:r w:rsidRPr="009276F5">
        <w:t>GMD The Gambia Meteorological Division</w:t>
      </w:r>
    </w:p>
    <w:p w14:paraId="67526ECA" w14:textId="77777777" w:rsidR="00C379EB" w:rsidRPr="00DE1BD4" w:rsidRDefault="00C379EB" w:rsidP="000B5979">
      <w:r w:rsidRPr="00DE1BD4">
        <w:t>GPS Global Positioning System</w:t>
      </w:r>
    </w:p>
    <w:p w14:paraId="6071239B" w14:textId="77777777" w:rsidR="00C379EB" w:rsidRPr="00DE1BD4" w:rsidRDefault="00C379EB" w:rsidP="000B5979">
      <w:r w:rsidRPr="00DE1BD4">
        <w:t>GSMA Global System for Mobile Communications</w:t>
      </w:r>
    </w:p>
    <w:p w14:paraId="6F6FE48C" w14:textId="77777777" w:rsidR="00C379EB" w:rsidRPr="00DE1BD4" w:rsidRDefault="00C379EB" w:rsidP="000B5979">
      <w:r w:rsidRPr="00DE1BD4">
        <w:t>HF High Frequency</w:t>
      </w:r>
    </w:p>
    <w:p w14:paraId="329FB6A3" w14:textId="77777777" w:rsidR="00C379EB" w:rsidRPr="00DE1BD4" w:rsidRDefault="00C379EB" w:rsidP="000B5979">
      <w:r w:rsidRPr="00DE1BD4">
        <w:t>IARU International Amateur Radio Union</w:t>
      </w:r>
    </w:p>
    <w:p w14:paraId="342E54B8" w14:textId="77777777" w:rsidR="00C379EB" w:rsidRDefault="00C379EB" w:rsidP="000B5979">
      <w:r w:rsidRPr="00DE1BD4">
        <w:t>ICT Information and Communication Technology</w:t>
      </w:r>
    </w:p>
    <w:p w14:paraId="2029FB69" w14:textId="34D83D93" w:rsidR="00DE2A22" w:rsidRPr="00DE1BD4" w:rsidRDefault="00DE2A22" w:rsidP="000B5979">
      <w:r>
        <w:t xml:space="preserve">IDMTM Integrated Disaster </w:t>
      </w:r>
      <w:r w:rsidR="00321479">
        <w:t>M</w:t>
      </w:r>
      <w:r>
        <w:t>anagement</w:t>
      </w:r>
      <w:r w:rsidR="00321479">
        <w:t xml:space="preserve"> Training Manual</w:t>
      </w:r>
    </w:p>
    <w:p w14:paraId="52590EB3" w14:textId="77777777" w:rsidR="00C379EB" w:rsidRPr="00DE1BD4" w:rsidRDefault="00C379EB" w:rsidP="000B5979">
      <w:r w:rsidRPr="00DE1BD4">
        <w:t>IFAD International Fund for Agricultural Development</w:t>
      </w:r>
    </w:p>
    <w:p w14:paraId="3D95D8BF" w14:textId="77777777" w:rsidR="00C379EB" w:rsidRPr="00DE1BD4" w:rsidRDefault="00C379EB" w:rsidP="000B5979">
      <w:r w:rsidRPr="00DE1BD4">
        <w:t>IFRC International Federation of Red Cross</w:t>
      </w:r>
    </w:p>
    <w:p w14:paraId="38A8EA8F" w14:textId="77777777" w:rsidR="00C379EB" w:rsidRPr="00DE1BD4" w:rsidRDefault="00C379EB" w:rsidP="000B5979">
      <w:r w:rsidRPr="00DE1BD4">
        <w:t>ISP Internet Service Provider</w:t>
      </w:r>
    </w:p>
    <w:p w14:paraId="433B3B41" w14:textId="77777777" w:rsidR="00C379EB" w:rsidRPr="00DE1BD4" w:rsidRDefault="00C379EB" w:rsidP="000B5979">
      <w:r w:rsidRPr="00DE1BD4">
        <w:t>ITU International Telecommunication Union</w:t>
      </w:r>
    </w:p>
    <w:p w14:paraId="525CF525" w14:textId="77777777" w:rsidR="00C379EB" w:rsidRDefault="00C379EB" w:rsidP="000B5979">
      <w:r w:rsidRPr="00DE1BD4">
        <w:t>JADE Joint Analysis of Disaster Exposure</w:t>
      </w:r>
    </w:p>
    <w:p w14:paraId="13EA3DAA" w14:textId="783A762E" w:rsidR="002C0BCD" w:rsidRPr="00DE1BD4" w:rsidRDefault="002C0BCD" w:rsidP="000B5979">
      <w:r>
        <w:t>LB-SMS Location Based Short Message System</w:t>
      </w:r>
    </w:p>
    <w:p w14:paraId="1492AD48" w14:textId="77777777" w:rsidR="00C379EB" w:rsidRPr="00DE1BD4" w:rsidRDefault="00C379EB" w:rsidP="000B5979">
      <w:r w:rsidRPr="00DE1BD4">
        <w:t>LEO Low Earth Orbit</w:t>
      </w:r>
    </w:p>
    <w:p w14:paraId="5A0E5C66" w14:textId="5E65E0CC" w:rsidR="00C379EB" w:rsidRDefault="00C379EB" w:rsidP="000B5979">
      <w:r w:rsidRPr="00DE1BD4">
        <w:t>MEO Medium Earth Orbit</w:t>
      </w:r>
    </w:p>
    <w:p w14:paraId="010C4AAE" w14:textId="09A86439" w:rsidR="004E2FB1" w:rsidRPr="00DE1BD4" w:rsidRDefault="004E2FB1" w:rsidP="000B5979">
      <w:r>
        <w:t>M</w:t>
      </w:r>
      <w:r w:rsidR="00953179">
        <w:t>o</w:t>
      </w:r>
      <w:r>
        <w:t>C</w:t>
      </w:r>
      <w:r w:rsidR="00953179">
        <w:t>DE</w:t>
      </w:r>
      <w:r>
        <w:t xml:space="preserve"> Ministry of Communications and </w:t>
      </w:r>
      <w:r w:rsidR="008C2151">
        <w:t>the Digital Economy</w:t>
      </w:r>
    </w:p>
    <w:p w14:paraId="499D9C87" w14:textId="77777777" w:rsidR="00C379EB" w:rsidRDefault="00C379EB" w:rsidP="000B5979">
      <w:r w:rsidRPr="00DE1BD4">
        <w:t>MNO Mobile Network Operator</w:t>
      </w:r>
    </w:p>
    <w:p w14:paraId="6159D65C" w14:textId="160A50AE" w:rsidR="001E1FD1" w:rsidRDefault="001E1FD1" w:rsidP="000B5979">
      <w:r>
        <w:t>NDMA National Disaster Management Agency</w:t>
      </w:r>
    </w:p>
    <w:p w14:paraId="5622E017" w14:textId="0A8216FB" w:rsidR="001E1FD1" w:rsidRDefault="001E1FD1" w:rsidP="000B5979">
      <w:r>
        <w:t xml:space="preserve">NDMC National Disaster </w:t>
      </w:r>
      <w:proofErr w:type="spellStart"/>
      <w:r>
        <w:t>Oanagement</w:t>
      </w:r>
      <w:proofErr w:type="spellEnd"/>
      <w:r>
        <w:t xml:space="preserve"> Council</w:t>
      </w:r>
    </w:p>
    <w:p w14:paraId="1F84CB85" w14:textId="6D3904E3" w:rsidR="00E958FA" w:rsidRDefault="00E958FA" w:rsidP="000B5979">
      <w:r>
        <w:t>NDMP National Disaster Management Policy</w:t>
      </w:r>
    </w:p>
    <w:p w14:paraId="3168903E" w14:textId="41B94E2E" w:rsidR="00C23FF4" w:rsidRPr="00DE1BD4" w:rsidRDefault="00C23FF4" w:rsidP="00C23FF4">
      <w:r>
        <w:t>NDMS National Disaster Management Strategy</w:t>
      </w:r>
    </w:p>
    <w:p w14:paraId="0DD1F884" w14:textId="77777777" w:rsidR="00C379EB" w:rsidRPr="00DE1BD4" w:rsidRDefault="00C379EB" w:rsidP="000B5979">
      <w:r w:rsidRPr="00DE1BD4">
        <w:t>NETP National Emergency Telecommunication Plan</w:t>
      </w:r>
    </w:p>
    <w:p w14:paraId="4B37948D" w14:textId="43E6C17B" w:rsidR="00C379EB" w:rsidRPr="00DE1BD4" w:rsidRDefault="00C379EB" w:rsidP="000B5979">
      <w:r w:rsidRPr="00DE1BD4">
        <w:t>NGO Non-Governmental Organization</w:t>
      </w:r>
    </w:p>
    <w:p w14:paraId="0781B89B" w14:textId="77777777" w:rsidR="00C379EB" w:rsidRDefault="00C379EB" w:rsidP="000B5979">
      <w:r w:rsidRPr="00DE1BD4">
        <w:t>OCHA United Nations Office for the Coordination of Humanitarian Affairs</w:t>
      </w:r>
    </w:p>
    <w:p w14:paraId="5E81201B" w14:textId="59E473B0" w:rsidR="005224FD" w:rsidRPr="00DE1BD4" w:rsidRDefault="005224FD" w:rsidP="005224FD">
      <w:r>
        <w:t>OPM Office of the Prime Minister’s Office</w:t>
      </w:r>
    </w:p>
    <w:p w14:paraId="3D318C0A" w14:textId="77777777" w:rsidR="00C379EB" w:rsidRDefault="00C379EB" w:rsidP="000B5979">
      <w:r w:rsidRPr="00DE1BD4">
        <w:t>PDNA Post Disaster Needs Assessment</w:t>
      </w:r>
    </w:p>
    <w:p w14:paraId="2267104F" w14:textId="77777777" w:rsidR="00C379EB" w:rsidRDefault="00C379EB" w:rsidP="000B5979">
      <w:r w:rsidRPr="00DE1BD4">
        <w:t>PPDR Public Protection and Disaster Relief</w:t>
      </w:r>
    </w:p>
    <w:p w14:paraId="0801494F" w14:textId="40D53778" w:rsidR="001E1FD1" w:rsidRPr="00DE1BD4" w:rsidRDefault="001E1FD1" w:rsidP="000B5979">
      <w:r>
        <w:t>PURA Public Utilities Regulatory Authority</w:t>
      </w:r>
    </w:p>
    <w:p w14:paraId="66E95946" w14:textId="77777777" w:rsidR="00C379EB" w:rsidRPr="00DE1BD4" w:rsidRDefault="00C379EB" w:rsidP="000B5979">
      <w:r w:rsidRPr="00DE1BD4">
        <w:t>RESAP Regional Space Applications Program for Sustainable Development</w:t>
      </w:r>
    </w:p>
    <w:p w14:paraId="2112C393" w14:textId="77777777" w:rsidR="00C379EB" w:rsidRPr="00DE1BD4" w:rsidRDefault="00C379EB" w:rsidP="000B5979">
      <w:r w:rsidRPr="00DE1BD4">
        <w:t>SMS Short Message Service</w:t>
      </w:r>
    </w:p>
    <w:p w14:paraId="67E59C84" w14:textId="77777777" w:rsidR="00C379EB" w:rsidRPr="00DE1BD4" w:rsidRDefault="00C379EB" w:rsidP="000B5979">
      <w:r w:rsidRPr="00DE1BD4">
        <w:t>SOE State-owned Enterprise</w:t>
      </w:r>
    </w:p>
    <w:p w14:paraId="6EB2640B" w14:textId="77777777" w:rsidR="00C379EB" w:rsidRDefault="00C379EB" w:rsidP="000B5979">
      <w:r w:rsidRPr="00DE1BD4">
        <w:t>SOP Standard Operating Procedure</w:t>
      </w:r>
    </w:p>
    <w:p w14:paraId="546859DD" w14:textId="77777777" w:rsidR="00C379EB" w:rsidRPr="00DE1BD4" w:rsidRDefault="00C379EB" w:rsidP="000B5979">
      <w:r w:rsidRPr="00DE1BD4">
        <w:t>TTX Table-top exercises</w:t>
      </w:r>
    </w:p>
    <w:p w14:paraId="296C92A3" w14:textId="60A84A6C" w:rsidR="00C23798" w:rsidRPr="00DE1BD4" w:rsidRDefault="00C23798" w:rsidP="000B5979">
      <w:proofErr w:type="spellStart"/>
      <w:r w:rsidRPr="00DE1BD4">
        <w:t>ToR</w:t>
      </w:r>
      <w:proofErr w:type="spellEnd"/>
      <w:r w:rsidRPr="00DE1BD4">
        <w:t xml:space="preserve"> Terms of Reference</w:t>
      </w:r>
    </w:p>
    <w:p w14:paraId="424C44A8" w14:textId="77777777" w:rsidR="00C379EB" w:rsidRPr="00DE1BD4" w:rsidRDefault="00C379EB" w:rsidP="000B5979">
      <w:r w:rsidRPr="00DE1BD4">
        <w:t>UAP Universal Access Plan</w:t>
      </w:r>
    </w:p>
    <w:p w14:paraId="02F2C4EA" w14:textId="77777777" w:rsidR="00C379EB" w:rsidRPr="00DE1BD4" w:rsidRDefault="00C379EB" w:rsidP="000B5979">
      <w:r w:rsidRPr="00DE1BD4">
        <w:t>UHF Ultra High Frequency</w:t>
      </w:r>
    </w:p>
    <w:p w14:paraId="3678FD5B" w14:textId="77777777" w:rsidR="00C379EB" w:rsidRPr="00DE1BD4" w:rsidRDefault="00C379EB" w:rsidP="000B5979">
      <w:r w:rsidRPr="00DE1BD4">
        <w:t>UN HCT United Nations Humanitarian Country Team</w:t>
      </w:r>
    </w:p>
    <w:p w14:paraId="5A9C5650" w14:textId="77777777" w:rsidR="00C379EB" w:rsidRPr="00DE1BD4" w:rsidRDefault="00C379EB" w:rsidP="000B5979">
      <w:r w:rsidRPr="00DE1BD4">
        <w:t>UNCDF UN Capital Development Fund</w:t>
      </w:r>
    </w:p>
    <w:p w14:paraId="3AA82C21" w14:textId="77777777" w:rsidR="00C379EB" w:rsidRPr="00DE1BD4" w:rsidRDefault="00C379EB" w:rsidP="000B5979">
      <w:r w:rsidRPr="00DE1BD4">
        <w:t>UNDAC United Nations Disaster Assessment and Coordination</w:t>
      </w:r>
    </w:p>
    <w:p w14:paraId="60B1CB7F" w14:textId="77777777" w:rsidR="00C379EB" w:rsidRPr="00DE1BD4" w:rsidRDefault="00C379EB" w:rsidP="000B5979">
      <w:r w:rsidRPr="00DE1BD4">
        <w:t>UNDP United Nations Development Programme</w:t>
      </w:r>
    </w:p>
    <w:p w14:paraId="1FD8BB5A" w14:textId="77777777" w:rsidR="00C379EB" w:rsidRPr="00DE1BD4" w:rsidRDefault="00C379EB" w:rsidP="000B5979">
      <w:r w:rsidRPr="00DE1BD4">
        <w:t>UNDRR United Nations Office for Disaster Risk Reduction</w:t>
      </w:r>
    </w:p>
    <w:p w14:paraId="58983AF8" w14:textId="77777777" w:rsidR="00C379EB" w:rsidRPr="00DE1BD4" w:rsidRDefault="00C379EB" w:rsidP="000B5979">
      <w:r w:rsidRPr="00DE1BD4">
        <w:t>UNDSS United Nations Department for Safety and Security</w:t>
      </w:r>
    </w:p>
    <w:p w14:paraId="631B1CAD" w14:textId="77777777" w:rsidR="00C379EB" w:rsidRPr="00DE1BD4" w:rsidRDefault="00C379EB" w:rsidP="000B5979">
      <w:r w:rsidRPr="00DE1BD4">
        <w:t>UNESCAP United Nations Economic and Social Commission for Asia and the Pacific</w:t>
      </w:r>
    </w:p>
    <w:p w14:paraId="2227F7DC" w14:textId="77777777" w:rsidR="00C379EB" w:rsidRPr="00DE1BD4" w:rsidRDefault="00C379EB" w:rsidP="000B5979">
      <w:r w:rsidRPr="00DE1BD4">
        <w:t>UNITAR-UNOSAT United Nations Institute for Training and Research – United Nations Operational Satellite Applications Programme</w:t>
      </w:r>
    </w:p>
    <w:p w14:paraId="725C72AF" w14:textId="77777777" w:rsidR="00C379EB" w:rsidRPr="00DE1BD4" w:rsidRDefault="00C379EB" w:rsidP="000B5979">
      <w:r w:rsidRPr="00DE1BD4">
        <w:t>UNOCHA United Nations Office for the Coordination of Humanitarian Affairs</w:t>
      </w:r>
    </w:p>
    <w:p w14:paraId="6130172D" w14:textId="77777777" w:rsidR="00C379EB" w:rsidRPr="00DE1BD4" w:rsidRDefault="00C379EB" w:rsidP="000B5979">
      <w:r w:rsidRPr="00DE1BD4">
        <w:t>VHF Very High Frequency</w:t>
      </w:r>
    </w:p>
    <w:p w14:paraId="0CF60C97" w14:textId="77777777" w:rsidR="00C379EB" w:rsidRPr="00DE1BD4" w:rsidRDefault="00C379EB" w:rsidP="000B5979">
      <w:r w:rsidRPr="00DE1BD4">
        <w:t>VSAT Very Small Aperture Terminal</w:t>
      </w:r>
    </w:p>
    <w:p w14:paraId="564DBE44" w14:textId="77777777" w:rsidR="00C379EB" w:rsidRPr="00DE1BD4" w:rsidRDefault="00C379EB" w:rsidP="000B5979">
      <w:r w:rsidRPr="00DE1BD4">
        <w:t>WFP World Food Programme</w:t>
      </w:r>
    </w:p>
    <w:p w14:paraId="7F89267E" w14:textId="77777777" w:rsidR="00C379EB" w:rsidRPr="00DE1BD4" w:rsidRDefault="00C379EB" w:rsidP="000B5979">
      <w:r w:rsidRPr="00DE1BD4">
        <w:t>WHO World Health Organisation</w:t>
      </w:r>
    </w:p>
    <w:p w14:paraId="4B96B046" w14:textId="77777777" w:rsidR="00C379EB" w:rsidRPr="00DE1BD4" w:rsidRDefault="00C379EB" w:rsidP="00B13334">
      <w:r w:rsidRPr="00DE1BD4">
        <w:t>WMO World Meteorological Organization</w:t>
      </w:r>
      <w:bookmarkStart w:id="613" w:name="_45jfvxd"/>
      <w:bookmarkEnd w:id="613"/>
      <w:r w:rsidRPr="00DE1BD4">
        <w:br w:type="page"/>
      </w:r>
    </w:p>
    <w:p w14:paraId="1B41F771" w14:textId="60348EAF" w:rsidR="00AF4AF0" w:rsidRPr="00DE1BD4" w:rsidRDefault="00AF4AF0" w:rsidP="00B34096">
      <w:pPr>
        <w:pStyle w:val="NoNumber"/>
      </w:pPr>
      <w:bookmarkStart w:id="614" w:name="_Toc90826050"/>
      <w:bookmarkStart w:id="615" w:name="_Toc91172706"/>
      <w:bookmarkStart w:id="616" w:name="_Toc91185593"/>
      <w:bookmarkStart w:id="617" w:name="_Toc181885853"/>
      <w:r w:rsidRPr="00DE1BD4">
        <w:t>References</w:t>
      </w:r>
      <w:bookmarkEnd w:id="614"/>
      <w:bookmarkEnd w:id="615"/>
      <w:bookmarkEnd w:id="616"/>
      <w:bookmarkEnd w:id="617"/>
    </w:p>
    <w:p w14:paraId="34B37E93" w14:textId="77777777" w:rsidR="00A95B7C" w:rsidRDefault="007F48D6" w:rsidP="00A95B7C">
      <w:pPr>
        <w:pStyle w:val="Bibliography"/>
        <w:rPr>
          <w:rFonts w:ascii="Times New Roman" w:hAnsi="Times New Roman" w:cs="Times New Roman"/>
        </w:rPr>
      </w:pPr>
      <w:r w:rsidRPr="00DE1BD4">
        <w:fldChar w:fldCharType="begin"/>
      </w:r>
      <w:r w:rsidR="00A95B7C">
        <w:instrText xml:space="preserve"> ADDIN ZOTERO_BIBL {"uncited":[],"omitted":[],"custom":[]} CSL_BIBLIOGRAPHY </w:instrText>
      </w:r>
      <w:r w:rsidRPr="00DE1BD4">
        <w:fldChar w:fldCharType="separate"/>
      </w:r>
      <w:r w:rsidR="00A95B7C">
        <w:rPr>
          <w:rFonts w:ascii="Times New Roman" w:hAnsi="Times New Roman" w:cs="Times New Roman"/>
        </w:rPr>
        <w:t>Christian, Eliot, ‘CAP Implementation by Country/Territory’</w:t>
      </w:r>
    </w:p>
    <w:p w14:paraId="650B9555"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Communications Regulators’ Association of Southern Africa, </w:t>
      </w:r>
      <w:r>
        <w:rPr>
          <w:rFonts w:ascii="Times New Roman" w:hAnsi="Times New Roman" w:cs="Times New Roman"/>
          <w:i/>
          <w:iCs/>
        </w:rPr>
        <w:t>FRAMEWORK FOR HARMONISATION OF RADIO FREQUENCY SPECTRUM FOR PPDR</w:t>
      </w:r>
      <w:r>
        <w:rPr>
          <w:rFonts w:ascii="Times New Roman" w:hAnsi="Times New Roman" w:cs="Times New Roman"/>
        </w:rPr>
        <w:t xml:space="preserve"> (2020) &lt;https://assets-global.website-files.com/5fb8ce4adbd6ad2ccc1423e7/612fe537c77c6958fe306c18_2020%20FRAMEWORK%20FOR%20HARMONISATION%20OF%20RADIO%20FREQUENCY%20SPECTRUM%20FOR%20PPDR%20.pdf&gt;</w:t>
      </w:r>
    </w:p>
    <w:p w14:paraId="086CC61C" w14:textId="77777777" w:rsidR="00A95B7C" w:rsidRDefault="00A95B7C" w:rsidP="00A95B7C">
      <w:pPr>
        <w:pStyle w:val="Bibliography"/>
        <w:rPr>
          <w:rFonts w:ascii="Times New Roman" w:hAnsi="Times New Roman" w:cs="Times New Roman"/>
        </w:rPr>
      </w:pPr>
      <w:r>
        <w:rPr>
          <w:rFonts w:ascii="Times New Roman" w:hAnsi="Times New Roman" w:cs="Times New Roman"/>
        </w:rPr>
        <w:t>Global Facility for Disaster Reduction and Recovery, ‘The Post Disaster Needs Assessment: An Overview’ (9 June 2017) &lt;https://www.gfdrr.org/sites/default/files/publication/PDNA%20-%20ACP-EU%20NDRR%20Focus%20Day%20presentation%20-%209%20June%202017.pdf&gt;</w:t>
      </w:r>
    </w:p>
    <w:p w14:paraId="4FF8C6AF"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Hallegatte, Stephane, Jun Rentschler and Julie Rozenberg, </w:t>
      </w:r>
      <w:r>
        <w:rPr>
          <w:rFonts w:ascii="Times New Roman" w:hAnsi="Times New Roman" w:cs="Times New Roman"/>
          <w:i/>
          <w:iCs/>
        </w:rPr>
        <w:t>Lifelines: The Resilient Infrastructure Opportunity</w:t>
      </w:r>
      <w:r>
        <w:rPr>
          <w:rFonts w:ascii="Times New Roman" w:hAnsi="Times New Roman" w:cs="Times New Roman"/>
        </w:rPr>
        <w:t xml:space="preserve"> (World Bank, 2019) &lt;https://openknowledge.worldbank.org/handle/10986/31805&gt;</w:t>
      </w:r>
    </w:p>
    <w:p w14:paraId="15EB0F5A"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Needham, Kirsty, ‘Musk’s Starlink Connects Remote Tonga Villages Still Cut off after Tsunami’, </w:t>
      </w:r>
      <w:r>
        <w:rPr>
          <w:rFonts w:ascii="Times New Roman" w:hAnsi="Times New Roman" w:cs="Times New Roman"/>
          <w:i/>
          <w:iCs/>
        </w:rPr>
        <w:t>Reuters</w:t>
      </w:r>
      <w:r>
        <w:rPr>
          <w:rFonts w:ascii="Times New Roman" w:hAnsi="Times New Roman" w:cs="Times New Roman"/>
        </w:rPr>
        <w:t xml:space="preserve"> (online, 23 February 2022) &lt;https://www.reuters.com/world/asia-pacific/musks-starlink-connects-remote-tonga-villages-still-cut-off-after-tsunami-2022-02-23/&gt;</w:t>
      </w:r>
    </w:p>
    <w:p w14:paraId="75B8B91F" w14:textId="77777777" w:rsidR="00A95B7C" w:rsidRDefault="00A95B7C" w:rsidP="00A95B7C">
      <w:pPr>
        <w:pStyle w:val="Bibliography"/>
        <w:rPr>
          <w:rFonts w:ascii="Times New Roman" w:hAnsi="Times New Roman" w:cs="Times New Roman"/>
        </w:rPr>
      </w:pPr>
      <w:r>
        <w:rPr>
          <w:rFonts w:ascii="Times New Roman" w:hAnsi="Times New Roman" w:cs="Times New Roman"/>
        </w:rPr>
        <w:t>OCHA, ‘UNDAC System’ (Suva, Fiji, 2014) &lt;http://pacifichumanitarian.info/wp-content/uploads/2015/11/UNDAC-Presentration-Fiji-2014.pdf&gt;</w:t>
      </w:r>
    </w:p>
    <w:p w14:paraId="4AA2DAC3" w14:textId="77777777" w:rsidR="00A95B7C" w:rsidRDefault="00A95B7C" w:rsidP="00A95B7C">
      <w:pPr>
        <w:pStyle w:val="Bibliography"/>
        <w:rPr>
          <w:rFonts w:ascii="Times New Roman" w:hAnsi="Times New Roman" w:cs="Times New Roman"/>
        </w:rPr>
      </w:pPr>
      <w:r>
        <w:rPr>
          <w:rFonts w:ascii="Times New Roman" w:hAnsi="Times New Roman" w:cs="Times New Roman"/>
          <w:i/>
          <w:iCs/>
        </w:rPr>
        <w:t>Summary Report GP2022</w:t>
      </w:r>
      <w:r>
        <w:rPr>
          <w:rFonts w:ascii="Times New Roman" w:hAnsi="Times New Roman" w:cs="Times New Roman"/>
        </w:rPr>
        <w:t xml:space="preserve"> (International Institute for Sustainable Development, May 2022) &lt;https://globalplatform.undrr.org/news/23-28-may-2022-summary-report-gp2022&gt;</w:t>
      </w:r>
    </w:p>
    <w:p w14:paraId="64AF5875"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UNESCO, </w:t>
      </w:r>
      <w:r>
        <w:rPr>
          <w:rFonts w:ascii="Times New Roman" w:hAnsi="Times New Roman" w:cs="Times New Roman"/>
          <w:i/>
          <w:iCs/>
        </w:rPr>
        <w:t>Assessment of Media Development in the Gambia</w:t>
      </w:r>
      <w:r>
        <w:rPr>
          <w:rFonts w:ascii="Times New Roman" w:hAnsi="Times New Roman" w:cs="Times New Roman"/>
        </w:rPr>
        <w:t xml:space="preserve"> (UNESCO, 2022) &lt;https://unesdoc.unesco.org/ark:/48223/pf0000383608&gt;</w:t>
      </w:r>
    </w:p>
    <w:p w14:paraId="35E176BE" w14:textId="77777777" w:rsidR="00A95B7C" w:rsidRDefault="00A95B7C" w:rsidP="00A95B7C">
      <w:pPr>
        <w:pStyle w:val="Bibliography"/>
        <w:rPr>
          <w:rFonts w:ascii="Times New Roman" w:hAnsi="Times New Roman" w:cs="Times New Roman"/>
        </w:rPr>
      </w:pPr>
      <w:r>
        <w:rPr>
          <w:rFonts w:ascii="Times New Roman" w:hAnsi="Times New Roman" w:cs="Times New Roman"/>
        </w:rPr>
        <w:t>‘About the ETC | Emergency Telecommunications Cluster (ETC)’ (15 December 2021) &lt;https://www.etcluster.org/about-etc&gt;</w:t>
      </w:r>
    </w:p>
    <w:p w14:paraId="259522A1"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AFENET, ‘Strengthening the Public Health Emergency Operations Center (EOC) in The Gambia’, </w:t>
      </w:r>
      <w:r>
        <w:rPr>
          <w:rFonts w:ascii="Times New Roman" w:hAnsi="Times New Roman" w:cs="Times New Roman"/>
          <w:i/>
          <w:iCs/>
        </w:rPr>
        <w:t>AFENET</w:t>
      </w:r>
      <w:r>
        <w:rPr>
          <w:rFonts w:ascii="Times New Roman" w:hAnsi="Times New Roman" w:cs="Times New Roman"/>
        </w:rPr>
        <w:t xml:space="preserve"> (2023) &lt;https://afenet.net/strengthening-the-public-health-emergency-operations-center-eoc-in-the-gambia/&gt;</w:t>
      </w:r>
    </w:p>
    <w:p w14:paraId="655E3887" w14:textId="77777777" w:rsidR="00A95B7C" w:rsidRDefault="00A95B7C" w:rsidP="00A95B7C">
      <w:pPr>
        <w:pStyle w:val="Bibliography"/>
        <w:rPr>
          <w:rFonts w:ascii="Times New Roman" w:hAnsi="Times New Roman" w:cs="Times New Roman"/>
        </w:rPr>
      </w:pPr>
      <w:r>
        <w:rPr>
          <w:rFonts w:ascii="Times New Roman" w:hAnsi="Times New Roman" w:cs="Times New Roman"/>
        </w:rPr>
        <w:t>Africa Risk Capacity, ‘Capacity Building Programme | African Risk Capacity Group’ (2024) &lt;https://www.arc.int/index.php/capacity-building-programme&gt;</w:t>
      </w:r>
    </w:p>
    <w:p w14:paraId="6AAB7C2A" w14:textId="77777777" w:rsidR="00A95B7C" w:rsidRDefault="00A95B7C" w:rsidP="00A95B7C">
      <w:pPr>
        <w:pStyle w:val="Bibliography"/>
        <w:rPr>
          <w:rFonts w:ascii="Times New Roman" w:hAnsi="Times New Roman" w:cs="Times New Roman"/>
        </w:rPr>
      </w:pPr>
      <w:r>
        <w:rPr>
          <w:rFonts w:ascii="Times New Roman" w:hAnsi="Times New Roman" w:cs="Times New Roman"/>
        </w:rPr>
        <w:t>Africa Risk Capacity, ‘Country MoUs | African Risk Capacity Group’ (2024) &lt;https://www.arc.int/country-mous&gt;</w:t>
      </w:r>
    </w:p>
    <w:p w14:paraId="4FC75164" w14:textId="77777777" w:rsidR="00A95B7C" w:rsidRDefault="00A95B7C" w:rsidP="00A95B7C">
      <w:pPr>
        <w:pStyle w:val="Bibliography"/>
        <w:rPr>
          <w:rFonts w:ascii="Times New Roman" w:hAnsi="Times New Roman" w:cs="Times New Roman"/>
        </w:rPr>
      </w:pPr>
      <w:r>
        <w:rPr>
          <w:rFonts w:ascii="Times New Roman" w:hAnsi="Times New Roman" w:cs="Times New Roman"/>
        </w:rPr>
        <w:t>Africa Risk Capacity, ‘Who We Are | African Risk Capacity Group’ (2024) &lt;https://www.arc.int/index.php/about&gt;</w:t>
      </w:r>
    </w:p>
    <w:p w14:paraId="2C8A4604" w14:textId="77777777" w:rsidR="00A95B7C" w:rsidRDefault="00A95B7C" w:rsidP="00A95B7C">
      <w:pPr>
        <w:pStyle w:val="Bibliography"/>
        <w:rPr>
          <w:rFonts w:ascii="Times New Roman" w:hAnsi="Times New Roman" w:cs="Times New Roman"/>
        </w:rPr>
      </w:pPr>
      <w:r>
        <w:rPr>
          <w:rFonts w:ascii="Times New Roman" w:hAnsi="Times New Roman" w:cs="Times New Roman"/>
        </w:rPr>
        <w:t>Alert-Hub, ‘Latest Valid CAP Alerts Received, Country-Gm-City-Swic140-Lang-En’ (2024) &lt;https://cap-alerts.s3.amazonaws.com/country-gm-city-swic140-lang-en/rss.xml&gt;</w:t>
      </w:r>
    </w:p>
    <w:p w14:paraId="4FACD561" w14:textId="77777777" w:rsidR="00A95B7C" w:rsidRDefault="00A95B7C" w:rsidP="00A95B7C">
      <w:pPr>
        <w:pStyle w:val="Bibliography"/>
        <w:rPr>
          <w:rFonts w:ascii="Times New Roman" w:hAnsi="Times New Roman" w:cs="Times New Roman"/>
        </w:rPr>
      </w:pPr>
      <w:r>
        <w:rPr>
          <w:rFonts w:ascii="Times New Roman" w:hAnsi="Times New Roman" w:cs="Times New Roman"/>
        </w:rPr>
        <w:t>‘Clusters and Multistakeholder Partnerships | World Food Programme’ &lt;https://www.wfp.org/clusters-and-multistakeholder-partnerships&gt;</w:t>
      </w:r>
    </w:p>
    <w:p w14:paraId="3482C07B" w14:textId="77777777" w:rsidR="00A95B7C" w:rsidRDefault="00A95B7C" w:rsidP="00A95B7C">
      <w:pPr>
        <w:pStyle w:val="Bibliography"/>
        <w:rPr>
          <w:rFonts w:ascii="Times New Roman" w:hAnsi="Times New Roman" w:cs="Times New Roman"/>
        </w:rPr>
      </w:pPr>
      <w:r>
        <w:rPr>
          <w:rFonts w:ascii="Times New Roman" w:hAnsi="Times New Roman" w:cs="Times New Roman"/>
        </w:rPr>
        <w:t>‘Course: Common Alerting Protocol: CAP Basics’ &lt;https://etrp.wmo.int/course/view.php?id=157&gt;</w:t>
      </w:r>
    </w:p>
    <w:p w14:paraId="171F0B26" w14:textId="77777777" w:rsidR="00A95B7C" w:rsidRDefault="00A95B7C" w:rsidP="00A95B7C">
      <w:pPr>
        <w:pStyle w:val="Bibliography"/>
        <w:rPr>
          <w:rFonts w:ascii="Times New Roman" w:hAnsi="Times New Roman" w:cs="Times New Roman"/>
        </w:rPr>
      </w:pPr>
      <w:r>
        <w:rPr>
          <w:rFonts w:ascii="Times New Roman" w:hAnsi="Times New Roman" w:cs="Times New Roman"/>
        </w:rPr>
        <w:t>CRED, ‘EM-DAT - The International Disaster Database’ (2024) &lt;https://www.emdat.be/&gt;</w:t>
      </w:r>
    </w:p>
    <w:p w14:paraId="1CFB69D4" w14:textId="77777777" w:rsidR="00A95B7C" w:rsidRDefault="00A95B7C" w:rsidP="00A95B7C">
      <w:pPr>
        <w:pStyle w:val="Bibliography"/>
        <w:rPr>
          <w:rFonts w:ascii="Times New Roman" w:hAnsi="Times New Roman" w:cs="Times New Roman"/>
        </w:rPr>
      </w:pPr>
      <w:r>
        <w:rPr>
          <w:rFonts w:ascii="Times New Roman" w:hAnsi="Times New Roman" w:cs="Times New Roman"/>
        </w:rPr>
        <w:t>Cybersecurity and Infrastructure Security Agency, ‘National Emergency Communications Plan’</w:t>
      </w:r>
    </w:p>
    <w:p w14:paraId="7417A641"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DataReportal, ‘Digital 2024: The Gambia’, </w:t>
      </w:r>
      <w:r>
        <w:rPr>
          <w:rFonts w:ascii="Times New Roman" w:hAnsi="Times New Roman" w:cs="Times New Roman"/>
          <w:i/>
          <w:iCs/>
        </w:rPr>
        <w:t>DataReportal – Global Digital Insights</w:t>
      </w:r>
      <w:r>
        <w:rPr>
          <w:rFonts w:ascii="Times New Roman" w:hAnsi="Times New Roman" w:cs="Times New Roman"/>
        </w:rPr>
        <w:t xml:space="preserve"> (23 February 2024) &lt;https://datareportal.com/reports/digital-2024-gambia&gt;</w:t>
      </w:r>
    </w:p>
    <w:p w14:paraId="4A520D50" w14:textId="77777777" w:rsidR="00A95B7C" w:rsidRDefault="00A95B7C" w:rsidP="00A95B7C">
      <w:pPr>
        <w:pStyle w:val="Bibliography"/>
        <w:rPr>
          <w:rFonts w:ascii="Times New Roman" w:hAnsi="Times New Roman" w:cs="Times New Roman"/>
        </w:rPr>
      </w:pPr>
      <w:r>
        <w:rPr>
          <w:rFonts w:ascii="Times New Roman" w:hAnsi="Times New Roman" w:cs="Times New Roman"/>
        </w:rPr>
        <w:t>Department of Fisheries and Water Resources, ‘Divisions | Meteorology’ (2024) &lt;https://www.mofwr.gm/WR-units&gt;</w:t>
      </w:r>
    </w:p>
    <w:p w14:paraId="48D5A016" w14:textId="77777777" w:rsidR="00A95B7C" w:rsidRDefault="00A95B7C" w:rsidP="00A95B7C">
      <w:pPr>
        <w:pStyle w:val="Bibliography"/>
        <w:rPr>
          <w:rFonts w:ascii="Times New Roman" w:hAnsi="Times New Roman" w:cs="Times New Roman"/>
        </w:rPr>
      </w:pPr>
      <w:r>
        <w:rPr>
          <w:rFonts w:ascii="Times New Roman" w:hAnsi="Times New Roman" w:cs="Times New Roman"/>
        </w:rPr>
        <w:t>‘Early Warnings for All (EW4All) | UNDRR’ (1 December 2022) &lt;http://www.undrr.org/implementing-sendai-framework/sendai-framework-action/early-warnings-for-all&gt;</w:t>
      </w:r>
    </w:p>
    <w:p w14:paraId="466B46A8" w14:textId="77777777" w:rsidR="00A95B7C" w:rsidRDefault="00A95B7C" w:rsidP="00A95B7C">
      <w:pPr>
        <w:pStyle w:val="Bibliography"/>
        <w:rPr>
          <w:rFonts w:ascii="Times New Roman" w:hAnsi="Times New Roman" w:cs="Times New Roman"/>
        </w:rPr>
      </w:pPr>
      <w:r>
        <w:rPr>
          <w:rFonts w:ascii="Times New Roman" w:hAnsi="Times New Roman" w:cs="Times New Roman"/>
        </w:rPr>
        <w:t>EMEA Satellite Operator’s Association (ESOA), ‘Crisis Connectivity Charter’ &lt;https://esoa.net/wp-content/uploads/2015-10-UN-Charter-document.pdf&gt;</w:t>
      </w:r>
    </w:p>
    <w:p w14:paraId="1C826CA1" w14:textId="77777777" w:rsidR="00A95B7C" w:rsidRDefault="00A95B7C" w:rsidP="00A95B7C">
      <w:pPr>
        <w:pStyle w:val="Bibliography"/>
        <w:rPr>
          <w:rFonts w:ascii="Times New Roman" w:hAnsi="Times New Roman" w:cs="Times New Roman"/>
        </w:rPr>
      </w:pPr>
      <w:r>
        <w:rPr>
          <w:rFonts w:ascii="Times New Roman" w:hAnsi="Times New Roman" w:cs="Times New Roman"/>
        </w:rPr>
        <w:t>‘FloodTags - Weather Impact Monitoring Using Social Media’ &lt;https://www.floodtags.com/&gt;</w:t>
      </w:r>
    </w:p>
    <w:p w14:paraId="528E2EE9"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GSMA, ‘Network Coverage Maps - Africell’, </w:t>
      </w:r>
      <w:r>
        <w:rPr>
          <w:rFonts w:ascii="Times New Roman" w:hAnsi="Times New Roman" w:cs="Times New Roman"/>
          <w:i/>
          <w:iCs/>
        </w:rPr>
        <w:t>GSMA</w:t>
      </w:r>
      <w:r>
        <w:rPr>
          <w:rFonts w:ascii="Times New Roman" w:hAnsi="Times New Roman" w:cs="Times New Roman"/>
        </w:rPr>
        <w:t xml:space="preserve"> (2024) &lt;https://www.gsma.com/coverage/&gt;</w:t>
      </w:r>
    </w:p>
    <w:p w14:paraId="33AA72FE"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GSMA, ‘Network Coverage Maps - QCell’, </w:t>
      </w:r>
      <w:r>
        <w:rPr>
          <w:rFonts w:ascii="Times New Roman" w:hAnsi="Times New Roman" w:cs="Times New Roman"/>
          <w:i/>
          <w:iCs/>
        </w:rPr>
        <w:t>GSMA</w:t>
      </w:r>
      <w:r>
        <w:rPr>
          <w:rFonts w:ascii="Times New Roman" w:hAnsi="Times New Roman" w:cs="Times New Roman"/>
        </w:rPr>
        <w:t xml:space="preserve"> (2024) &lt;https://www.gsma.com/coverage/&gt;</w:t>
      </w:r>
    </w:p>
    <w:p w14:paraId="2D0A45A7" w14:textId="77777777" w:rsidR="00A95B7C" w:rsidRDefault="00A95B7C" w:rsidP="00A95B7C">
      <w:pPr>
        <w:pStyle w:val="Bibliography"/>
        <w:rPr>
          <w:rFonts w:ascii="Times New Roman" w:hAnsi="Times New Roman" w:cs="Times New Roman"/>
        </w:rPr>
      </w:pPr>
      <w:r>
        <w:rPr>
          <w:rFonts w:ascii="Times New Roman" w:hAnsi="Times New Roman" w:cs="Times New Roman"/>
        </w:rPr>
        <w:t>GSMA, ‘Vodacom - Network Coverage Maps’ (2024) &lt;https://www.gsma.com/coverage/#553&gt;</w:t>
      </w:r>
    </w:p>
    <w:p w14:paraId="7E1EE72A" w14:textId="77777777" w:rsidR="00A95B7C" w:rsidRDefault="00A95B7C" w:rsidP="00A95B7C">
      <w:pPr>
        <w:pStyle w:val="Bibliography"/>
        <w:rPr>
          <w:rFonts w:ascii="Times New Roman" w:hAnsi="Times New Roman" w:cs="Times New Roman"/>
        </w:rPr>
      </w:pPr>
      <w:r>
        <w:rPr>
          <w:rFonts w:ascii="Times New Roman" w:hAnsi="Times New Roman" w:cs="Times New Roman"/>
        </w:rPr>
        <w:t>‘Home - International Disasters Charter’ &lt;https://disasterscharter.org/web/guest/home&gt;</w:t>
      </w:r>
    </w:p>
    <w:p w14:paraId="02972BC0" w14:textId="77777777" w:rsidR="00A95B7C" w:rsidRDefault="00A95B7C" w:rsidP="00A95B7C">
      <w:pPr>
        <w:pStyle w:val="Bibliography"/>
        <w:rPr>
          <w:rFonts w:ascii="Times New Roman" w:hAnsi="Times New Roman" w:cs="Times New Roman"/>
        </w:rPr>
      </w:pPr>
      <w:r>
        <w:rPr>
          <w:rFonts w:ascii="Times New Roman" w:hAnsi="Times New Roman" w:cs="Times New Roman"/>
        </w:rPr>
        <w:t>‘Homepage - SASSCAL’ (31 May 2024) &lt;https://sasscal.org/&gt;</w:t>
      </w:r>
    </w:p>
    <w:p w14:paraId="7C761107" w14:textId="77777777" w:rsidR="00A95B7C" w:rsidRDefault="00A95B7C" w:rsidP="00A95B7C">
      <w:pPr>
        <w:pStyle w:val="Bibliography"/>
        <w:rPr>
          <w:rFonts w:ascii="Times New Roman" w:hAnsi="Times New Roman" w:cs="Times New Roman"/>
        </w:rPr>
      </w:pPr>
      <w:r>
        <w:rPr>
          <w:rFonts w:ascii="Times New Roman" w:hAnsi="Times New Roman" w:cs="Times New Roman"/>
        </w:rPr>
        <w:t>‘IARU Emergency Telecommunications Guide’ &lt;https://www.iaru.org/wp-content/uploads/2020/01/emcommguide_1sept2016.pdf&gt;</w:t>
      </w:r>
    </w:p>
    <w:p w14:paraId="58784729" w14:textId="77777777" w:rsidR="00A95B7C" w:rsidRDefault="00A95B7C" w:rsidP="00A95B7C">
      <w:pPr>
        <w:pStyle w:val="Bibliography"/>
        <w:rPr>
          <w:rFonts w:ascii="Times New Roman" w:hAnsi="Times New Roman" w:cs="Times New Roman"/>
        </w:rPr>
      </w:pPr>
      <w:r>
        <w:rPr>
          <w:rFonts w:ascii="Times New Roman" w:hAnsi="Times New Roman" w:cs="Times New Roman"/>
        </w:rPr>
        <w:t>Ifeoma Joy Okorie, ‘Gambia and Guinea Plan to Have New Subsea Cable’ (Techpoint Africa, 27 April 2024) &lt;https://techpoint.africa/2024/04/27/gambia-guinea-plan-subsea-cable/&gt;</w:t>
      </w:r>
    </w:p>
    <w:p w14:paraId="194EC5FD"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‘Inclusive Public Services for Linguistically Challenged Presented @ CPRsouth2018’, </w:t>
      </w:r>
      <w:r>
        <w:rPr>
          <w:rFonts w:ascii="Times New Roman" w:hAnsi="Times New Roman" w:cs="Times New Roman"/>
          <w:i/>
          <w:iCs/>
        </w:rPr>
        <w:t>Sahana Foundation</w:t>
      </w:r>
      <w:r>
        <w:rPr>
          <w:rFonts w:ascii="Times New Roman" w:hAnsi="Times New Roman" w:cs="Times New Roman"/>
        </w:rPr>
        <w:t xml:space="preserve"> (17 September 2018) &lt;https://sahanafoundation.org/inclusive-public-services-for-linguistically-challenged-presented-cprsouth2018/&gt;</w:t>
      </w:r>
    </w:p>
    <w:p w14:paraId="7E0E496E" w14:textId="77777777" w:rsidR="00A95B7C" w:rsidRDefault="00A95B7C" w:rsidP="00A95B7C">
      <w:pPr>
        <w:pStyle w:val="Bibliography"/>
        <w:rPr>
          <w:rFonts w:ascii="Times New Roman" w:hAnsi="Times New Roman" w:cs="Times New Roman"/>
        </w:rPr>
      </w:pPr>
      <w:r>
        <w:rPr>
          <w:rFonts w:ascii="Times New Roman" w:hAnsi="Times New Roman" w:cs="Times New Roman"/>
        </w:rPr>
        <w:t>International Amateur Radio Union, ‘Member Societies’ (2024) &lt;https://www.iaru.org/reference/member-societies/&gt;</w:t>
      </w:r>
    </w:p>
    <w:p w14:paraId="05240EF4"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International Centre on Environmental Monitoring, ‘Gambia Risk Profile - Floods &amp; Droughts’, </w:t>
      </w:r>
      <w:r>
        <w:rPr>
          <w:rFonts w:ascii="Times New Roman" w:hAnsi="Times New Roman" w:cs="Times New Roman"/>
          <w:i/>
          <w:iCs/>
        </w:rPr>
        <w:t>GeoNode</w:t>
      </w:r>
      <w:r>
        <w:rPr>
          <w:rFonts w:ascii="Times New Roman" w:hAnsi="Times New Roman" w:cs="Times New Roman"/>
        </w:rPr>
        <w:t xml:space="preserve"> (2019) &lt;http://riskprofilesundrr.org/documents/1519&gt;</w:t>
      </w:r>
    </w:p>
    <w:p w14:paraId="535E6235"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International Telecommunications Union, ‘Common Alerting Protocol and Call to Action’, </w:t>
      </w:r>
      <w:r>
        <w:rPr>
          <w:rFonts w:ascii="Times New Roman" w:hAnsi="Times New Roman" w:cs="Times New Roman"/>
          <w:i/>
          <w:iCs/>
        </w:rPr>
        <w:t>ITU</w:t>
      </w:r>
      <w:r>
        <w:rPr>
          <w:rFonts w:ascii="Times New Roman" w:hAnsi="Times New Roman" w:cs="Times New Roman"/>
        </w:rPr>
        <w:t xml:space="preserve"> (11 December 2021) &lt;https://www.itu.int:443/en/ITU-D/Emergency-Telecommunications/Pages/Common-Alerting-Protocol-and-Call-to-Action.aspx&gt;</w:t>
      </w:r>
    </w:p>
    <w:p w14:paraId="66EA749A"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International Telecommunications Union, ‘Digital Development Dashboard’, </w:t>
      </w:r>
      <w:r>
        <w:rPr>
          <w:rFonts w:ascii="Times New Roman" w:hAnsi="Times New Roman" w:cs="Times New Roman"/>
          <w:i/>
          <w:iCs/>
        </w:rPr>
        <w:t>ITU</w:t>
      </w:r>
      <w:r>
        <w:rPr>
          <w:rFonts w:ascii="Times New Roman" w:hAnsi="Times New Roman" w:cs="Times New Roman"/>
        </w:rPr>
        <w:t xml:space="preserve"> (2022) &lt;https://www.itu.int:443/en/ITU-D/Statistics/Dashboards/Pages/Digital-Development.aspx&gt;</w:t>
      </w:r>
    </w:p>
    <w:p w14:paraId="4B88209F" w14:textId="77777777" w:rsidR="00A95B7C" w:rsidRDefault="00A95B7C" w:rsidP="00A95B7C">
      <w:pPr>
        <w:pStyle w:val="Bibliography"/>
        <w:rPr>
          <w:rFonts w:ascii="Times New Roman" w:hAnsi="Times New Roman" w:cs="Times New Roman"/>
        </w:rPr>
      </w:pPr>
      <w:r>
        <w:rPr>
          <w:rFonts w:ascii="Times New Roman" w:hAnsi="Times New Roman" w:cs="Times New Roman"/>
        </w:rPr>
        <w:t>International Telecommunications Union, ‘Gambia Data - ITU DataHub’ (2024) &lt;https://datahub.itu.int/data/?e=GMB&amp;Connectivity=Access&gt;</w:t>
      </w:r>
    </w:p>
    <w:p w14:paraId="40584416" w14:textId="77777777" w:rsidR="00A95B7C" w:rsidRDefault="00A95B7C" w:rsidP="00A95B7C">
      <w:pPr>
        <w:pStyle w:val="Bibliography"/>
        <w:rPr>
          <w:rFonts w:ascii="Times New Roman" w:hAnsi="Times New Roman" w:cs="Times New Roman"/>
        </w:rPr>
      </w:pPr>
      <w:r>
        <w:rPr>
          <w:rFonts w:ascii="Times New Roman" w:hAnsi="Times New Roman" w:cs="Times New Roman"/>
        </w:rPr>
        <w:t>International Telecommunications Union, ‘ITU Guidelines for National Emergency Telecommunication Plans’ &lt;https://www.itu.int/en/ITU-D/Emergency-Telecommunications/Documents/2020/NETP-guidelines.pdf&gt;</w:t>
      </w:r>
    </w:p>
    <w:p w14:paraId="1538CF0B"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International Telecommunications Union, ‘ITU Guidelines for National Emergency Telecommunication Plans’, </w:t>
      </w:r>
      <w:r>
        <w:rPr>
          <w:rFonts w:ascii="Times New Roman" w:hAnsi="Times New Roman" w:cs="Times New Roman"/>
          <w:i/>
          <w:iCs/>
        </w:rPr>
        <w:t>ITU</w:t>
      </w:r>
      <w:r>
        <w:rPr>
          <w:rFonts w:ascii="Times New Roman" w:hAnsi="Times New Roman" w:cs="Times New Roman"/>
        </w:rPr>
        <w:t xml:space="preserve"> (2020) &lt;https://www.itu.int:443/en/ITU-D/Emergency-Telecommunications/Pages/Publications/Guidelines-for-NETPs.aspx&gt;</w:t>
      </w:r>
    </w:p>
    <w:p w14:paraId="3F6BA4AD"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International Telecommunications Union, ‘Question 5/2: Utilizing Telecommunications/Information and Communication Technologies for Disaster Risk Reduction and Management’, </w:t>
      </w:r>
      <w:r>
        <w:rPr>
          <w:rFonts w:ascii="Times New Roman" w:hAnsi="Times New Roman" w:cs="Times New Roman"/>
          <w:i/>
          <w:iCs/>
        </w:rPr>
        <w:t>ITU</w:t>
      </w:r>
      <w:r>
        <w:rPr>
          <w:rFonts w:ascii="Times New Roman" w:hAnsi="Times New Roman" w:cs="Times New Roman"/>
        </w:rPr>
        <w:t xml:space="preserve"> &lt;https://www.itu.int:443/en/publications/ITU-D/Pages/publications.aspx&gt;</w:t>
      </w:r>
    </w:p>
    <w:p w14:paraId="1F9945DC" w14:textId="77777777" w:rsidR="00A95B7C" w:rsidRDefault="00A95B7C" w:rsidP="00A95B7C">
      <w:pPr>
        <w:pStyle w:val="Bibliography"/>
        <w:rPr>
          <w:rFonts w:ascii="Times New Roman" w:hAnsi="Times New Roman" w:cs="Times New Roman"/>
        </w:rPr>
      </w:pPr>
      <w:r>
        <w:rPr>
          <w:rFonts w:ascii="Times New Roman" w:hAnsi="Times New Roman" w:cs="Times New Roman"/>
        </w:rPr>
        <w:t>International Telecommunications Union, ‘World Data - ITU DataHub’ (2024) &lt;https://datahub.itu.int/data/?Markets=Competition&gt;</w:t>
      </w:r>
    </w:p>
    <w:p w14:paraId="5619C790" w14:textId="77777777" w:rsidR="00A95B7C" w:rsidRDefault="00A95B7C" w:rsidP="00A95B7C">
      <w:pPr>
        <w:pStyle w:val="Bibliography"/>
        <w:rPr>
          <w:rFonts w:ascii="Times New Roman" w:hAnsi="Times New Roman" w:cs="Times New Roman"/>
        </w:rPr>
      </w:pPr>
      <w:r>
        <w:rPr>
          <w:rFonts w:ascii="Times New Roman" w:hAnsi="Times New Roman" w:cs="Times New Roman"/>
        </w:rPr>
        <w:t>‘Intersec Embraces the UN “Early Warnings for All” Initiative and Recalls the Importance of an Integrated Approach’ &lt;https://intersec.com/blog/intersec-embraces-the-un-early-warnings-for-all-initiative-and-recalls-the-importance-of-an-integrated-approach&gt;</w:t>
      </w:r>
    </w:p>
    <w:p w14:paraId="3609B375"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‘ITU Connectivity Infrastructure Maps’, </w:t>
      </w:r>
      <w:r>
        <w:rPr>
          <w:rFonts w:ascii="Times New Roman" w:hAnsi="Times New Roman" w:cs="Times New Roman"/>
          <w:i/>
          <w:iCs/>
        </w:rPr>
        <w:t>ITU</w:t>
      </w:r>
      <w:r>
        <w:rPr>
          <w:rFonts w:ascii="Times New Roman" w:hAnsi="Times New Roman" w:cs="Times New Roman"/>
        </w:rPr>
        <w:t xml:space="preserve"> &lt;https://www.itu.int:443/en/ITU-D/Technology/Pages/InteractiveTransmissionMaps.aspx&gt;</w:t>
      </w:r>
    </w:p>
    <w:p w14:paraId="2D3668AC"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‘LEO Satellites: A Technology to Revolutionize Global Connectivity?’, </w:t>
      </w:r>
      <w:r>
        <w:rPr>
          <w:rFonts w:ascii="Times New Roman" w:hAnsi="Times New Roman" w:cs="Times New Roman"/>
          <w:i/>
          <w:iCs/>
        </w:rPr>
        <w:t>BCG Global</w:t>
      </w:r>
      <w:r>
        <w:rPr>
          <w:rFonts w:ascii="Times New Roman" w:hAnsi="Times New Roman" w:cs="Times New Roman"/>
        </w:rPr>
        <w:t xml:space="preserve"> (28 May 2021) &lt;https://www.bcg.com/publications/2021/leo-satellites-unlock-connectivity-opportunity&gt;</w:t>
      </w:r>
    </w:p>
    <w:p w14:paraId="1B5A47CF"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Logistics Cluster, ‘3.4 Gambia Telecommunications’, </w:t>
      </w:r>
      <w:r>
        <w:rPr>
          <w:rFonts w:ascii="Times New Roman" w:hAnsi="Times New Roman" w:cs="Times New Roman"/>
          <w:i/>
          <w:iCs/>
        </w:rPr>
        <w:t>Digital Logistics Capacity Assessments</w:t>
      </w:r>
      <w:r>
        <w:rPr>
          <w:rFonts w:ascii="Times New Roman" w:hAnsi="Times New Roman" w:cs="Times New Roman"/>
        </w:rPr>
        <w:t xml:space="preserve"> (2024) &lt;https://lca.logcluster.org/34-gambia-telecommunications&gt;</w:t>
      </w:r>
    </w:p>
    <w:p w14:paraId="718181F3" w14:textId="77777777" w:rsidR="00A95B7C" w:rsidRDefault="00A95B7C" w:rsidP="00A95B7C">
      <w:pPr>
        <w:pStyle w:val="Bibliography"/>
        <w:rPr>
          <w:rFonts w:ascii="Times New Roman" w:hAnsi="Times New Roman" w:cs="Times New Roman"/>
        </w:rPr>
      </w:pPr>
      <w:r>
        <w:rPr>
          <w:rFonts w:ascii="Times New Roman" w:hAnsi="Times New Roman" w:cs="Times New Roman"/>
        </w:rPr>
        <w:t>Mauldin, Alan, ‘Cable Breakage: When and How Cables Go Down’ &lt;https://blog.telegeography.com/what-happens-when-submarine-cables-break&gt;</w:t>
      </w:r>
    </w:p>
    <w:p w14:paraId="1063387F" w14:textId="77777777" w:rsidR="00A95B7C" w:rsidRDefault="00A95B7C" w:rsidP="00A95B7C">
      <w:pPr>
        <w:pStyle w:val="Bibliography"/>
        <w:rPr>
          <w:rFonts w:ascii="Times New Roman" w:hAnsi="Times New Roman" w:cs="Times New Roman"/>
        </w:rPr>
      </w:pPr>
      <w:r>
        <w:rPr>
          <w:rFonts w:ascii="Times New Roman" w:hAnsi="Times New Roman" w:cs="Times New Roman"/>
        </w:rPr>
        <w:t>Ministry of Communications and Digital Economy, Republic of The Gambia, ‘2023 Achievement Highlights’ &lt;https://mocde.gov.gm/wp-content/uploads/2024/01/MOCDE-Infographic.pdf&gt;</w:t>
      </w:r>
    </w:p>
    <w:p w14:paraId="497B254C" w14:textId="77777777" w:rsidR="00A95B7C" w:rsidRDefault="00A95B7C" w:rsidP="00A95B7C">
      <w:pPr>
        <w:pStyle w:val="Bibliography"/>
        <w:rPr>
          <w:rFonts w:ascii="Times New Roman" w:hAnsi="Times New Roman" w:cs="Times New Roman"/>
        </w:rPr>
      </w:pPr>
      <w:r>
        <w:rPr>
          <w:rFonts w:ascii="Times New Roman" w:hAnsi="Times New Roman" w:cs="Times New Roman"/>
        </w:rPr>
        <w:t>Ministry of Information and Communication Infrastructure, ‘The Gambia National Broadband Policy 2020-2024’</w:t>
      </w:r>
    </w:p>
    <w:p w14:paraId="1452A130" w14:textId="77777777" w:rsidR="00A95B7C" w:rsidRDefault="00A95B7C" w:rsidP="00A95B7C">
      <w:pPr>
        <w:pStyle w:val="Bibliography"/>
        <w:rPr>
          <w:rFonts w:ascii="Times New Roman" w:hAnsi="Times New Roman" w:cs="Times New Roman"/>
        </w:rPr>
      </w:pPr>
      <w:r>
        <w:rPr>
          <w:rFonts w:ascii="Times New Roman" w:hAnsi="Times New Roman" w:cs="Times New Roman"/>
        </w:rPr>
        <w:t>nPerf, ‘3G / 4G / 5G Coverage in The Gambia - Africell’ (2024) &lt;https://www.nperf.com/en/map/GM/-/207891.Africell-Mobile/signal?ll=13.377762636948479&amp;lg=-16.831054687500004&amp;zoom=12&gt;</w:t>
      </w:r>
    </w:p>
    <w:p w14:paraId="40FE7A57" w14:textId="77777777" w:rsidR="00A95B7C" w:rsidRDefault="00A95B7C" w:rsidP="00A95B7C">
      <w:pPr>
        <w:pStyle w:val="Bibliography"/>
        <w:rPr>
          <w:rFonts w:ascii="Times New Roman" w:hAnsi="Times New Roman" w:cs="Times New Roman"/>
        </w:rPr>
      </w:pPr>
      <w:r>
        <w:rPr>
          <w:rFonts w:ascii="Times New Roman" w:hAnsi="Times New Roman" w:cs="Times New Roman"/>
        </w:rPr>
        <w:t>nPerf, ‘3G / 4G / 5G Coverage in The Gambia - Comium’ (2024) &lt;https://www.nperf.com/en/map/GM/-/207892.Comium-Mobile/signal?ll=13.323480401570771&amp;lg=-16.908988952636722&amp;zoom=11&gt;</w:t>
      </w:r>
    </w:p>
    <w:p w14:paraId="7DA83584" w14:textId="77777777" w:rsidR="00A95B7C" w:rsidRDefault="00A95B7C" w:rsidP="00A95B7C">
      <w:pPr>
        <w:pStyle w:val="Bibliography"/>
        <w:rPr>
          <w:rFonts w:ascii="Times New Roman" w:hAnsi="Times New Roman" w:cs="Times New Roman"/>
        </w:rPr>
      </w:pPr>
      <w:r>
        <w:rPr>
          <w:rFonts w:ascii="Times New Roman" w:hAnsi="Times New Roman" w:cs="Times New Roman"/>
        </w:rPr>
        <w:t>nPerf, ‘3G / 4G / 5G Coverage in The Gambia - Gamcell’ (2024) &lt;https://www.nperf.com/en/map/GM/-/207889.Gamcel-Mobile/signal?ll=13.364736013904439&amp;lg=-16.868476867675785&amp;zoom=12&gt;</w:t>
      </w:r>
    </w:p>
    <w:p w14:paraId="391A07F5" w14:textId="77777777" w:rsidR="00A95B7C" w:rsidRDefault="00A95B7C" w:rsidP="00A95B7C">
      <w:pPr>
        <w:pStyle w:val="Bibliography"/>
        <w:rPr>
          <w:rFonts w:ascii="Times New Roman" w:hAnsi="Times New Roman" w:cs="Times New Roman"/>
        </w:rPr>
      </w:pPr>
      <w:r>
        <w:rPr>
          <w:rFonts w:ascii="Times New Roman" w:hAnsi="Times New Roman" w:cs="Times New Roman"/>
        </w:rPr>
        <w:t>nPerf, ‘3G / 4G / 5G Coverage in The Gambia - Qcell’ (2024) &lt;https://www.nperf.com/en/map/GM/-/207895.QCell-Mobile/signal?ll=13.444220836678824&amp;lg=-16.86710357666016&amp;zoom=12&gt;</w:t>
      </w:r>
    </w:p>
    <w:p w14:paraId="36B01759" w14:textId="77777777" w:rsidR="00A95B7C" w:rsidRDefault="00A95B7C" w:rsidP="00A95B7C">
      <w:pPr>
        <w:pStyle w:val="Bibliography"/>
        <w:rPr>
          <w:rFonts w:ascii="Times New Roman" w:hAnsi="Times New Roman" w:cs="Times New Roman"/>
        </w:rPr>
      </w:pPr>
      <w:r>
        <w:rPr>
          <w:rFonts w:ascii="Times New Roman" w:hAnsi="Times New Roman" w:cs="Times New Roman"/>
        </w:rPr>
        <w:t>‘Over USD 4.7 Billion Spent on 58 Satellite Projects in Africa | Space in Africa’ &lt;https://africanews.space/over-usd-4-7-billion-spent-on-58-satellite-projects-in-africa/&gt;</w:t>
      </w:r>
    </w:p>
    <w:p w14:paraId="1C7C86E7"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Paula Gilbert, ‘Eutelsat OneWeb Signs Satellite Deal with Paratus South Africa’, </w:t>
      </w:r>
      <w:r>
        <w:rPr>
          <w:rFonts w:ascii="Times New Roman" w:hAnsi="Times New Roman" w:cs="Times New Roman"/>
          <w:i/>
          <w:iCs/>
        </w:rPr>
        <w:t>Connecting Africa</w:t>
      </w:r>
      <w:r>
        <w:rPr>
          <w:rFonts w:ascii="Times New Roman" w:hAnsi="Times New Roman" w:cs="Times New Roman"/>
        </w:rPr>
        <w:t xml:space="preserve"> (23 January 2024) &lt;https://www.connectingafrica.com/connectivity/eutelsat-oneweb-signs-satellite-deal-with-paratus-south-africa&gt;</w:t>
      </w:r>
    </w:p>
    <w:p w14:paraId="70501006" w14:textId="77777777" w:rsidR="00A95B7C" w:rsidRDefault="00A95B7C" w:rsidP="00A95B7C">
      <w:pPr>
        <w:pStyle w:val="Bibliography"/>
        <w:rPr>
          <w:rFonts w:ascii="Times New Roman" w:hAnsi="Times New Roman" w:cs="Times New Roman"/>
        </w:rPr>
      </w:pPr>
      <w:r>
        <w:rPr>
          <w:rFonts w:ascii="Times New Roman" w:hAnsi="Times New Roman" w:cs="Times New Roman"/>
        </w:rPr>
        <w:t>Penny Urquart, ‘National Climate Change Policy of The Gambia (Final Report: Final Draft)’</w:t>
      </w:r>
    </w:p>
    <w:p w14:paraId="4A83BAA7"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‘Project Kuiper’, </w:t>
      </w:r>
      <w:r>
        <w:rPr>
          <w:rFonts w:ascii="Times New Roman" w:hAnsi="Times New Roman" w:cs="Times New Roman"/>
          <w:i/>
          <w:iCs/>
        </w:rPr>
        <w:t>US About Amazon</w:t>
      </w:r>
      <w:r>
        <w:rPr>
          <w:rFonts w:ascii="Times New Roman" w:hAnsi="Times New Roman" w:cs="Times New Roman"/>
        </w:rPr>
        <w:t xml:space="preserve"> &lt;https://www.aboutamazon.com/what-we-do/devices-services/project-kuiper&gt;</w:t>
      </w:r>
    </w:p>
    <w:p w14:paraId="3A9C77E7"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Samantha Mathewson, ‘SpaceX Makes Starlink Internet Service Free for People Hit by Hurricanes Helene and Milton’, </w:t>
      </w:r>
      <w:r>
        <w:rPr>
          <w:rFonts w:ascii="Times New Roman" w:hAnsi="Times New Roman" w:cs="Times New Roman"/>
          <w:i/>
          <w:iCs/>
        </w:rPr>
        <w:t>Space.com</w:t>
      </w:r>
      <w:r>
        <w:rPr>
          <w:rFonts w:ascii="Times New Roman" w:hAnsi="Times New Roman" w:cs="Times New Roman"/>
        </w:rPr>
        <w:t xml:space="preserve"> (15 October 2024) &lt;https://www.space.com/spacex-starlink-free-2024-hurricane-helene-milton&gt;</w:t>
      </w:r>
    </w:p>
    <w:p w14:paraId="1FB0AD97"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Scharon Harding, ‘Cut Submarine Cables Cause Web Outages across Africa; 6 Countries Still Affected’, </w:t>
      </w:r>
      <w:r>
        <w:rPr>
          <w:rFonts w:ascii="Times New Roman" w:hAnsi="Times New Roman" w:cs="Times New Roman"/>
          <w:i/>
          <w:iCs/>
        </w:rPr>
        <w:t>Ars Technica</w:t>
      </w:r>
      <w:r>
        <w:rPr>
          <w:rFonts w:ascii="Times New Roman" w:hAnsi="Times New Roman" w:cs="Times New Roman"/>
        </w:rPr>
        <w:t xml:space="preserve"> (15 March 2024) &lt;https://arstechnica.com/information-technology/2024/03/internet-outages-hit-13-countries-in-africa-due-to-undersea-cable-damage/&gt;</w:t>
      </w:r>
    </w:p>
    <w:p w14:paraId="58003712"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Sheetz, Michael, ‘Lockheed Martin Partners with Satellite Start-up Omnispace to Build a Space-Based 5G Network’, </w:t>
      </w:r>
      <w:r>
        <w:rPr>
          <w:rFonts w:ascii="Times New Roman" w:hAnsi="Times New Roman" w:cs="Times New Roman"/>
          <w:i/>
          <w:iCs/>
        </w:rPr>
        <w:t>CNBC</w:t>
      </w:r>
      <w:r>
        <w:rPr>
          <w:rFonts w:ascii="Times New Roman" w:hAnsi="Times New Roman" w:cs="Times New Roman"/>
        </w:rPr>
        <w:t xml:space="preserve"> &lt;https://www.cnbc.com/2021/03/23/lockheed-martin-partners-with-omnispace-for-satellite-5g-network.html&gt;</w:t>
      </w:r>
    </w:p>
    <w:p w14:paraId="1B4D96BE"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Sheetz, Michael, ‘Telesat to Build a $5 Billion Global Satellite Network to Bring Fiber-like Internet to Businesses’, </w:t>
      </w:r>
      <w:r>
        <w:rPr>
          <w:rFonts w:ascii="Times New Roman" w:hAnsi="Times New Roman" w:cs="Times New Roman"/>
          <w:i/>
          <w:iCs/>
        </w:rPr>
        <w:t>CNBC</w:t>
      </w:r>
      <w:r>
        <w:rPr>
          <w:rFonts w:ascii="Times New Roman" w:hAnsi="Times New Roman" w:cs="Times New Roman"/>
        </w:rPr>
        <w:t xml:space="preserve"> &lt;https://www.cnbc.com/2021/02/09/telesat-building-5-billion-lightspeed-global-satellite-internet.html&gt;</w:t>
      </w:r>
    </w:p>
    <w:p w14:paraId="0A9CAB67" w14:textId="77777777" w:rsidR="00A95B7C" w:rsidRDefault="00A95B7C" w:rsidP="00A95B7C">
      <w:pPr>
        <w:pStyle w:val="Bibliography"/>
        <w:rPr>
          <w:rFonts w:ascii="Times New Roman" w:hAnsi="Times New Roman" w:cs="Times New Roman"/>
        </w:rPr>
      </w:pPr>
      <w:r>
        <w:rPr>
          <w:rFonts w:ascii="Times New Roman" w:hAnsi="Times New Roman" w:cs="Times New Roman"/>
        </w:rPr>
        <w:t>‘Standard Operating Procedures (SOPs) | CISA’ &lt;https://www.cisa.gov/safecom/sops&gt;</w:t>
      </w:r>
    </w:p>
    <w:p w14:paraId="3768409F" w14:textId="77777777" w:rsidR="00A95B7C" w:rsidRDefault="00A95B7C" w:rsidP="00A95B7C">
      <w:pPr>
        <w:pStyle w:val="Bibliography"/>
        <w:rPr>
          <w:rFonts w:ascii="Times New Roman" w:hAnsi="Times New Roman" w:cs="Times New Roman"/>
        </w:rPr>
      </w:pPr>
      <w:r>
        <w:rPr>
          <w:rFonts w:ascii="Times New Roman" w:hAnsi="Times New Roman" w:cs="Times New Roman"/>
        </w:rPr>
        <w:t>Tanzania Meteorological Authority, ‘Latest Alerts from Tanzania Meteorological Authority’ (2024) &lt;https://cap-sources.s3.amazonaws.com/tz-tma-en/rss.xml&gt;</w:t>
      </w:r>
    </w:p>
    <w:p w14:paraId="3583E210"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Telegeography, ‘ACE Route’, </w:t>
      </w:r>
      <w:r>
        <w:rPr>
          <w:rFonts w:ascii="Times New Roman" w:hAnsi="Times New Roman" w:cs="Times New Roman"/>
          <w:i/>
          <w:iCs/>
        </w:rPr>
        <w:t>Submarine Cable Map</w:t>
      </w:r>
      <w:r>
        <w:rPr>
          <w:rFonts w:ascii="Times New Roman" w:hAnsi="Times New Roman" w:cs="Times New Roman"/>
        </w:rPr>
        <w:t xml:space="preserve"> (2024) &lt;https://www.submarinecablemap.com/landing-point/banjul-gambia&gt;</w:t>
      </w:r>
    </w:p>
    <w:p w14:paraId="1F845289" w14:textId="77777777" w:rsidR="00A95B7C" w:rsidRDefault="00A95B7C" w:rsidP="00A95B7C">
      <w:pPr>
        <w:pStyle w:val="Bibliography"/>
        <w:rPr>
          <w:rFonts w:ascii="Times New Roman" w:hAnsi="Times New Roman" w:cs="Times New Roman"/>
        </w:rPr>
      </w:pPr>
      <w:r>
        <w:rPr>
          <w:rFonts w:ascii="Times New Roman" w:hAnsi="Times New Roman" w:cs="Times New Roman"/>
        </w:rPr>
        <w:t>The Gambia Public Utilities Regulatory Authority, ‘Annual Report and Financial Statements’</w:t>
      </w:r>
    </w:p>
    <w:p w14:paraId="325F19A0"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The Gambia Public Utilities Regulatory Authority, ‘Broadcasting’, </w:t>
      </w:r>
      <w:r>
        <w:rPr>
          <w:rFonts w:ascii="Times New Roman" w:hAnsi="Times New Roman" w:cs="Times New Roman"/>
          <w:i/>
          <w:iCs/>
        </w:rPr>
        <w:t>Public Utilities Regulatory Authority</w:t>
      </w:r>
      <w:r>
        <w:rPr>
          <w:rFonts w:ascii="Times New Roman" w:hAnsi="Times New Roman" w:cs="Times New Roman"/>
        </w:rPr>
        <w:t xml:space="preserve"> (2024) &lt;https://pura.gm/ict/sub-sectors/broadcasting/&gt;</w:t>
      </w:r>
    </w:p>
    <w:p w14:paraId="0566F063"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The Gambia Public Utilities Regulatory Authority, ‘Fixed / Wireless Line Operator’, </w:t>
      </w:r>
      <w:r>
        <w:rPr>
          <w:rFonts w:ascii="Times New Roman" w:hAnsi="Times New Roman" w:cs="Times New Roman"/>
          <w:i/>
          <w:iCs/>
        </w:rPr>
        <w:t>Public Utilities Regulatory Authority</w:t>
      </w:r>
      <w:r>
        <w:rPr>
          <w:rFonts w:ascii="Times New Roman" w:hAnsi="Times New Roman" w:cs="Times New Roman"/>
        </w:rPr>
        <w:t xml:space="preserve"> (2024) &lt;https://pura.gm/ict/sub-sectors/fixed-line-operator/&gt;</w:t>
      </w:r>
    </w:p>
    <w:p w14:paraId="5920B099" w14:textId="77777777" w:rsidR="00A95B7C" w:rsidRDefault="00A95B7C" w:rsidP="00A95B7C">
      <w:pPr>
        <w:pStyle w:val="Bibliography"/>
        <w:rPr>
          <w:rFonts w:ascii="Times New Roman" w:hAnsi="Times New Roman" w:cs="Times New Roman"/>
        </w:rPr>
      </w:pPr>
      <w:r>
        <w:rPr>
          <w:rFonts w:ascii="Times New Roman" w:hAnsi="Times New Roman" w:cs="Times New Roman"/>
        </w:rPr>
        <w:t>The Gambia Public Utilities Regulatory Authority, ‘Guidelines for Short Code Applications’</w:t>
      </w:r>
    </w:p>
    <w:p w14:paraId="5623C4FB"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The Gambia Public Utilities Regulatory Authority, ‘Internet Service Providers’, </w:t>
      </w:r>
      <w:r>
        <w:rPr>
          <w:rFonts w:ascii="Times New Roman" w:hAnsi="Times New Roman" w:cs="Times New Roman"/>
          <w:i/>
          <w:iCs/>
        </w:rPr>
        <w:t>Public Utilities Regulatory Authority</w:t>
      </w:r>
      <w:r>
        <w:rPr>
          <w:rFonts w:ascii="Times New Roman" w:hAnsi="Times New Roman" w:cs="Times New Roman"/>
        </w:rPr>
        <w:t xml:space="preserve"> (2024) &lt;https://pura.gm/ict/sub-sectors/internet-service-providers/&gt;</w:t>
      </w:r>
    </w:p>
    <w:p w14:paraId="3548C480"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The Gambia Public Utilities Regulatory Authority, ‘Mobile Network Operators’, </w:t>
      </w:r>
      <w:r>
        <w:rPr>
          <w:rFonts w:ascii="Times New Roman" w:hAnsi="Times New Roman" w:cs="Times New Roman"/>
          <w:i/>
          <w:iCs/>
        </w:rPr>
        <w:t>Public Utilities Regulatory Authority</w:t>
      </w:r>
      <w:r>
        <w:rPr>
          <w:rFonts w:ascii="Times New Roman" w:hAnsi="Times New Roman" w:cs="Times New Roman"/>
        </w:rPr>
        <w:t xml:space="preserve"> (2024) &lt;https://pura.gm/ict/sub-sectors/mobile-network-operators/&gt;</w:t>
      </w:r>
    </w:p>
    <w:p w14:paraId="43A72AE1" w14:textId="77777777" w:rsidR="00A95B7C" w:rsidRDefault="00A95B7C" w:rsidP="00A95B7C">
      <w:pPr>
        <w:pStyle w:val="Bibliography"/>
        <w:rPr>
          <w:rFonts w:ascii="Times New Roman" w:hAnsi="Times New Roman" w:cs="Times New Roman"/>
        </w:rPr>
      </w:pPr>
      <w:r>
        <w:rPr>
          <w:rFonts w:ascii="Times New Roman" w:hAnsi="Times New Roman" w:cs="Times New Roman"/>
        </w:rPr>
        <w:t>The Gambia Red Cross Society, ‘International Disaster Response Law (IDRL) in The Gambia’ &lt;https://disasterlaw.ifrc.org/media/2064&gt;</w:t>
      </w:r>
    </w:p>
    <w:p w14:paraId="7F24E568" w14:textId="77777777" w:rsidR="00A95B7C" w:rsidRDefault="00A95B7C" w:rsidP="00A95B7C">
      <w:pPr>
        <w:pStyle w:val="Bibliography"/>
        <w:rPr>
          <w:rFonts w:ascii="Times New Roman" w:hAnsi="Times New Roman" w:cs="Times New Roman"/>
        </w:rPr>
      </w:pPr>
      <w:r>
        <w:rPr>
          <w:rFonts w:ascii="Times New Roman" w:hAnsi="Times New Roman" w:cs="Times New Roman"/>
        </w:rPr>
        <w:t>The Gambia Submarine Cable Company Ltd, ‘The Gambia Submarine Cable Company Ltd’ (2024) &lt;http://gsc.gm/&gt;</w:t>
      </w:r>
    </w:p>
    <w:p w14:paraId="4581C7A8"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Gambia, ‘Gambia ICT Agency’ (2024) &lt;https://gambia.gov.gm/gambia-ict-agency/&gt;</w:t>
      </w:r>
    </w:p>
    <w:p w14:paraId="1ED5620F"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Gambia, ‘Information and Communications Act’</w:t>
      </w:r>
    </w:p>
    <w:p w14:paraId="7B1F8DBF"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Gambia, ‘Public Utility and Regulatory Authority’ (2004) &lt;https://gambia.gov.gm/public-utility-and-regulatory-authority/&gt;</w:t>
      </w:r>
    </w:p>
    <w:p w14:paraId="048DD05A"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Gambia, ‘The Ministry – Ministry of Commnications &amp; Digital Economy’ (2024) &lt;https://mocde.gov.gm/the-ministry/&gt;</w:t>
      </w:r>
    </w:p>
    <w:p w14:paraId="4F7EB8D4"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Republic of The Gambia, ‘National Disaster Management Act’</w:t>
      </w:r>
    </w:p>
    <w:p w14:paraId="4B857654"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Republic of The Gambia, ‘National Disaster Management Policy’</w:t>
      </w:r>
    </w:p>
    <w:p w14:paraId="5A196222"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Republic of The Gambia, ‘Recovery Focused National Development Plan 2023 - 2027’</w:t>
      </w:r>
    </w:p>
    <w:p w14:paraId="1AD6A897" w14:textId="77777777" w:rsidR="00A95B7C" w:rsidRDefault="00A95B7C" w:rsidP="00A95B7C">
      <w:pPr>
        <w:pStyle w:val="Bibliography"/>
        <w:rPr>
          <w:rFonts w:ascii="Times New Roman" w:hAnsi="Times New Roman" w:cs="Times New Roman"/>
        </w:rPr>
      </w:pPr>
      <w:r>
        <w:rPr>
          <w:rFonts w:ascii="Times New Roman" w:hAnsi="Times New Roman" w:cs="Times New Roman"/>
        </w:rPr>
        <w:t>The Government of the Republic of The Gambia, ‘The Gambia 2050 Climate Vision’</w:t>
      </w:r>
    </w:p>
    <w:p w14:paraId="380E7475" w14:textId="77777777" w:rsidR="00A95B7C" w:rsidRDefault="00A95B7C" w:rsidP="00A95B7C">
      <w:pPr>
        <w:pStyle w:val="Bibliography"/>
        <w:rPr>
          <w:rFonts w:ascii="Times New Roman" w:hAnsi="Times New Roman" w:cs="Times New Roman"/>
        </w:rPr>
      </w:pPr>
      <w:r>
        <w:rPr>
          <w:rFonts w:ascii="Times New Roman" w:hAnsi="Times New Roman" w:cs="Times New Roman"/>
        </w:rPr>
        <w:t>thevoice, ‘Gambia Gets 4 New Automated Weather Stations’ (13 July 2021) &lt;https://www.voicegambia.com/2021/07/13/gambia-gets-4-new-automated-weather-stations/&gt;</w:t>
      </w:r>
    </w:p>
    <w:p w14:paraId="1D9690E9" w14:textId="77777777" w:rsidR="00A95B7C" w:rsidRDefault="00A95B7C" w:rsidP="00A95B7C">
      <w:pPr>
        <w:pStyle w:val="Bibliography"/>
        <w:rPr>
          <w:rFonts w:ascii="Times New Roman" w:hAnsi="Times New Roman" w:cs="Times New Roman"/>
        </w:rPr>
      </w:pPr>
      <w:r>
        <w:rPr>
          <w:rFonts w:ascii="Times New Roman" w:hAnsi="Times New Roman" w:cs="Times New Roman"/>
        </w:rPr>
        <w:t>‘Think Hazard’ &lt;https://thinkhazard.org/en/&gt;</w:t>
      </w:r>
    </w:p>
    <w:p w14:paraId="3441FD68" w14:textId="77777777" w:rsidR="00A95B7C" w:rsidRDefault="00A95B7C" w:rsidP="00A95B7C">
      <w:pPr>
        <w:pStyle w:val="Bibliography"/>
        <w:rPr>
          <w:rFonts w:ascii="Times New Roman" w:hAnsi="Times New Roman" w:cs="Times New Roman"/>
        </w:rPr>
      </w:pPr>
      <w:r>
        <w:rPr>
          <w:rFonts w:ascii="Times New Roman" w:hAnsi="Times New Roman" w:cs="Times New Roman"/>
        </w:rPr>
        <w:t>Think Hazard, ‘Think Hazard - The Gambia - Extreme Heat’ (2024)</w:t>
      </w:r>
    </w:p>
    <w:p w14:paraId="62A3528D" w14:textId="77777777" w:rsidR="00A95B7C" w:rsidRDefault="00A95B7C" w:rsidP="00A95B7C">
      <w:pPr>
        <w:pStyle w:val="Bibliography"/>
        <w:rPr>
          <w:rFonts w:ascii="Times New Roman" w:hAnsi="Times New Roman" w:cs="Times New Roman"/>
        </w:rPr>
      </w:pPr>
      <w:r>
        <w:rPr>
          <w:rFonts w:ascii="Times New Roman" w:hAnsi="Times New Roman" w:cs="Times New Roman"/>
        </w:rPr>
        <w:t>Think Hazard, ‘Think Hazard - The Gambia - River Flood’ (2024) &lt;https://thinkhazard.org/en/report/90-the-gambia/FL&gt;</w:t>
      </w:r>
    </w:p>
    <w:p w14:paraId="2EA2C7E9" w14:textId="77777777" w:rsidR="00A95B7C" w:rsidRDefault="00A95B7C" w:rsidP="00A95B7C">
      <w:pPr>
        <w:pStyle w:val="Bibliography"/>
        <w:rPr>
          <w:rFonts w:ascii="Times New Roman" w:hAnsi="Times New Roman" w:cs="Times New Roman"/>
        </w:rPr>
      </w:pPr>
      <w:r>
        <w:rPr>
          <w:rFonts w:ascii="Times New Roman" w:hAnsi="Times New Roman" w:cs="Times New Roman"/>
        </w:rPr>
        <w:t>UN Department of Economic and Social Affairs, ‘UN International Strategy for Disaster Reduction (UNISDR)’ &lt;https://sdgs.un.org/statements/un-international-strategy-disaster-reduction-unisdr-8377&gt;</w:t>
      </w:r>
    </w:p>
    <w:p w14:paraId="35DC0392" w14:textId="77777777" w:rsidR="00A95B7C" w:rsidRDefault="00A95B7C" w:rsidP="00A95B7C">
      <w:pPr>
        <w:pStyle w:val="Bibliography"/>
        <w:rPr>
          <w:rFonts w:ascii="Times New Roman" w:hAnsi="Times New Roman" w:cs="Times New Roman"/>
        </w:rPr>
      </w:pPr>
      <w:r>
        <w:rPr>
          <w:rFonts w:ascii="Times New Roman" w:hAnsi="Times New Roman" w:cs="Times New Roman"/>
        </w:rPr>
        <w:t xml:space="preserve">‘UNDAC Members and Partners’, </w:t>
      </w:r>
      <w:r>
        <w:rPr>
          <w:rFonts w:ascii="Times New Roman" w:hAnsi="Times New Roman" w:cs="Times New Roman"/>
          <w:i/>
          <w:iCs/>
        </w:rPr>
        <w:t>OCHA</w:t>
      </w:r>
      <w:r>
        <w:rPr>
          <w:rFonts w:ascii="Times New Roman" w:hAnsi="Times New Roman" w:cs="Times New Roman"/>
        </w:rPr>
        <w:t xml:space="preserve"> (24 February 2017) &lt;https://www.unocha.org/undac-members-and-partners&gt;</w:t>
      </w:r>
    </w:p>
    <w:p w14:paraId="5481CE48" w14:textId="77777777" w:rsidR="00A95B7C" w:rsidRDefault="00A95B7C" w:rsidP="00A95B7C">
      <w:pPr>
        <w:pStyle w:val="Bibliography"/>
        <w:rPr>
          <w:rFonts w:ascii="Times New Roman" w:hAnsi="Times New Roman" w:cs="Times New Roman"/>
        </w:rPr>
      </w:pPr>
      <w:r>
        <w:rPr>
          <w:rFonts w:ascii="Times New Roman" w:hAnsi="Times New Roman" w:cs="Times New Roman"/>
        </w:rPr>
        <w:t>United Nations, ‘The United Nations in The Gambia’ (2024) &lt;https://gambia.un.org/en/about/about-the-un&gt;</w:t>
      </w:r>
    </w:p>
    <w:p w14:paraId="12D37C9F" w14:textId="77777777" w:rsidR="00A95B7C" w:rsidRDefault="00A95B7C" w:rsidP="00A95B7C">
      <w:pPr>
        <w:pStyle w:val="Bibliography"/>
        <w:rPr>
          <w:rFonts w:ascii="Times New Roman" w:hAnsi="Times New Roman" w:cs="Times New Roman"/>
        </w:rPr>
      </w:pPr>
      <w:r>
        <w:rPr>
          <w:rFonts w:ascii="Times New Roman" w:hAnsi="Times New Roman" w:cs="Times New Roman"/>
        </w:rPr>
        <w:t>United Nations Treaty Collection, ‘Tampere Convention’ (18 June 1998) &lt;https://treaties.un.org/pages/ViewDetails.aspx?src=TREATY&amp;mtdsg_no=XXV-4&amp;chapter=25&gt;</w:t>
      </w:r>
    </w:p>
    <w:p w14:paraId="566098C8" w14:textId="77777777" w:rsidR="00A95B7C" w:rsidRDefault="00A95B7C" w:rsidP="00A95B7C">
      <w:pPr>
        <w:pStyle w:val="Bibliography"/>
        <w:rPr>
          <w:rFonts w:ascii="Times New Roman" w:hAnsi="Times New Roman" w:cs="Times New Roman"/>
        </w:rPr>
      </w:pPr>
      <w:r>
        <w:rPr>
          <w:rFonts w:ascii="Times New Roman" w:hAnsi="Times New Roman" w:cs="Times New Roman"/>
        </w:rPr>
        <w:t>University of Southampton and Princeton Climate Institute, ‘African Flood and Drought Monitor’ (2024) &lt;https://hydrology.soton.ac.uk/apps/afdm/&gt;</w:t>
      </w:r>
    </w:p>
    <w:p w14:paraId="52D21343" w14:textId="77777777" w:rsidR="00A95B7C" w:rsidRDefault="00A95B7C" w:rsidP="00A95B7C">
      <w:pPr>
        <w:pStyle w:val="Bibliography"/>
        <w:rPr>
          <w:rFonts w:ascii="Times New Roman" w:hAnsi="Times New Roman" w:cs="Times New Roman"/>
        </w:rPr>
      </w:pPr>
      <w:r>
        <w:rPr>
          <w:rFonts w:ascii="Times New Roman" w:hAnsi="Times New Roman" w:cs="Times New Roman"/>
        </w:rPr>
        <w:t>Wagemaker, Jurjen, ‘Community Water Watch, Tanzania - FloodTags’ (14 February 2022) &lt;https://www.floodtags.com/community-water-watch-3/&gt;</w:t>
      </w:r>
    </w:p>
    <w:p w14:paraId="6039CCAD" w14:textId="77777777" w:rsidR="00A95B7C" w:rsidRDefault="00A95B7C" w:rsidP="00A95B7C">
      <w:pPr>
        <w:pStyle w:val="Bibliography"/>
        <w:rPr>
          <w:rFonts w:ascii="Times New Roman" w:hAnsi="Times New Roman" w:cs="Times New Roman"/>
        </w:rPr>
      </w:pPr>
      <w:r>
        <w:rPr>
          <w:rFonts w:ascii="Times New Roman" w:hAnsi="Times New Roman" w:cs="Times New Roman"/>
        </w:rPr>
        <w:t>‘What Is Amateur Radio? | IARU’ &lt;https://www.iaru.org/amateur-radio/what-is-amateur-radio/&gt;</w:t>
      </w:r>
    </w:p>
    <w:p w14:paraId="246DF2CC" w14:textId="77777777" w:rsidR="00A95B7C" w:rsidRDefault="00A95B7C" w:rsidP="00A95B7C">
      <w:pPr>
        <w:pStyle w:val="Bibliography"/>
        <w:rPr>
          <w:rFonts w:ascii="Times New Roman" w:hAnsi="Times New Roman" w:cs="Times New Roman"/>
        </w:rPr>
      </w:pPr>
      <w:r>
        <w:rPr>
          <w:rFonts w:ascii="Times New Roman" w:hAnsi="Times New Roman" w:cs="Times New Roman"/>
        </w:rPr>
        <w:t>‘WMO Register of Alerting Authorities’ &lt;https://alertingauthority.wmo.int/&gt;</w:t>
      </w:r>
    </w:p>
    <w:p w14:paraId="04866240" w14:textId="3EEA678E" w:rsidR="00536828" w:rsidRPr="006D59F6" w:rsidRDefault="007F48D6" w:rsidP="006D59F6">
      <w:pPr>
        <w:pStyle w:val="NoNumber"/>
        <w:ind w:left="0" w:firstLine="0"/>
        <w:jc w:val="left"/>
      </w:pPr>
      <w:r w:rsidRPr="00DE1BD4">
        <w:fldChar w:fldCharType="end"/>
      </w:r>
    </w:p>
    <w:sectPr w:rsidR="00536828" w:rsidRPr="006D59F6" w:rsidSect="0092005E">
      <w:pgSz w:w="11906" w:h="16838" w:code="9"/>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 w:author="Brad Partridge" w:date="2024-11-06T11:02:00Z" w:initials="BP">
    <w:p w14:paraId="515CD471" w14:textId="77777777" w:rsidR="00B94088" w:rsidRDefault="00B94088" w:rsidP="00B94088">
      <w:pPr>
        <w:pStyle w:val="CommentText"/>
        <w:jc w:val="left"/>
      </w:pPr>
      <w:r>
        <w:rPr>
          <w:rStyle w:val="CommentReference"/>
        </w:rPr>
        <w:annotationRef/>
      </w:r>
      <w:r>
        <w:t>To be updated on completion</w:t>
      </w:r>
    </w:p>
  </w:comment>
  <w:comment w:id="320" w:author="Delgado, Doris Maritza" w:date="2024-10-28T07:22:00Z" w:initials="DD">
    <w:p w14:paraId="61665354" w14:textId="6D91A7F7" w:rsidR="0004473B" w:rsidRDefault="0004473B" w:rsidP="0004473B">
      <w:pPr>
        <w:pStyle w:val="CommentText"/>
        <w:jc w:val="left"/>
      </w:pPr>
      <w:r>
        <w:rPr>
          <w:rStyle w:val="CommentReference"/>
        </w:rPr>
        <w:annotationRef/>
      </w:r>
      <w:r>
        <w:rPr>
          <w:lang w:val="en-US"/>
        </w:rPr>
        <w:t>VSATs also use Ka bands</w:t>
      </w:r>
    </w:p>
  </w:comment>
  <w:comment w:id="484" w:author="Delgado, Doris Maritza" w:date="2024-10-28T07:28:00Z" w:initials="DD">
    <w:p w14:paraId="313F59BF" w14:textId="77777777" w:rsidR="0004473B" w:rsidRDefault="0004473B" w:rsidP="0004473B">
      <w:pPr>
        <w:pStyle w:val="CommentText"/>
        <w:jc w:val="left"/>
      </w:pPr>
      <w:r>
        <w:rPr>
          <w:rStyle w:val="CommentReference"/>
        </w:rPr>
        <w:annotationRef/>
      </w:r>
      <w:r>
        <w:rPr>
          <w:lang w:val="en-US"/>
        </w:rPr>
        <w:t>ITU can also offer a national training for the implementation of CAP</w:t>
      </w:r>
    </w:p>
  </w:comment>
  <w:comment w:id="492" w:author="Delgado, Doris Maritza" w:date="2024-10-28T07:29:00Z" w:initials="DD">
    <w:p w14:paraId="698C8D6E" w14:textId="77777777" w:rsidR="00E60BDE" w:rsidRDefault="00E60BDE" w:rsidP="00E60BDE">
      <w:pPr>
        <w:pStyle w:val="CommentText"/>
        <w:jc w:val="left"/>
      </w:pPr>
      <w:r>
        <w:rPr>
          <w:rStyle w:val="CommentReference"/>
        </w:rPr>
        <w:annotationRef/>
      </w:r>
      <w:r>
        <w:rPr>
          <w:lang w:val="en-US"/>
        </w:rPr>
        <w:t>Please include the link to the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15CD471" w15:done="0"/>
  <w15:commentEx w15:paraId="61665354" w15:done="1"/>
  <w15:commentEx w15:paraId="313F59BF" w15:done="1"/>
  <w15:commentEx w15:paraId="698C8D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5721F6" w16cex:dateUtc="2024-11-06T00:02:00Z"/>
  <w16cex:commentExtensible w16cex:durableId="6E675383" w16cex:dateUtc="2024-10-28T06:22:00Z"/>
  <w16cex:commentExtensible w16cex:durableId="4D4CE938" w16cex:dateUtc="2024-10-28T06:28:00Z"/>
  <w16cex:commentExtensible w16cex:durableId="1A6FED67" w16cex:dateUtc="2024-10-28T0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15CD471" w16cid:durableId="015721F6"/>
  <w16cid:commentId w16cid:paraId="61665354" w16cid:durableId="6E675383"/>
  <w16cid:commentId w16cid:paraId="313F59BF" w16cid:durableId="4D4CE938"/>
  <w16cid:commentId w16cid:paraId="698C8D6E" w16cid:durableId="1A6FED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866EB" w14:textId="77777777" w:rsidR="002748EB" w:rsidRPr="00DE1BD4" w:rsidRDefault="002748EB" w:rsidP="006D6C27">
      <w:pPr>
        <w:spacing w:after="0" w:line="240" w:lineRule="auto"/>
      </w:pPr>
      <w:r w:rsidRPr="00DE1BD4">
        <w:separator/>
      </w:r>
    </w:p>
  </w:endnote>
  <w:endnote w:type="continuationSeparator" w:id="0">
    <w:p w14:paraId="0F9A8CCB" w14:textId="77777777" w:rsidR="002748EB" w:rsidRPr="00DE1BD4" w:rsidRDefault="002748EB" w:rsidP="006D6C27">
      <w:pPr>
        <w:spacing w:after="0" w:line="240" w:lineRule="auto"/>
      </w:pPr>
      <w:r w:rsidRPr="00DE1BD4">
        <w:continuationSeparator/>
      </w:r>
    </w:p>
  </w:endnote>
  <w:endnote w:type="continuationNotice" w:id="1">
    <w:p w14:paraId="2F74DB37" w14:textId="77777777" w:rsidR="002748EB" w:rsidRPr="00DE1BD4" w:rsidRDefault="002748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FuturaLight">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pton Boo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Minion Pro">
    <w:altName w:val="Cambria"/>
    <w:charset w:val="00"/>
    <w:family w:val="roman"/>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UniversLTCYR-65Bold">
    <w:altName w:val="Calibri"/>
    <w:panose1 w:val="00000000000000000000"/>
    <w:charset w:val="00"/>
    <w:family w:val="auto"/>
    <w:notTrueType/>
    <w:pitch w:val="default"/>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eciliaLTStd-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27888" w14:textId="77777777" w:rsidR="00E769E0" w:rsidRDefault="00E76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DCBA2" w14:textId="77777777" w:rsidR="00E769E0" w:rsidRDefault="00E76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223DD" w14:textId="77777777" w:rsidR="00E769E0" w:rsidRDefault="00E769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86590395"/>
      <w:docPartObj>
        <w:docPartGallery w:val="Page Numbers (Bottom of Page)"/>
        <w:docPartUnique/>
      </w:docPartObj>
    </w:sdtPr>
    <w:sdtContent>
      <w:p w14:paraId="716A8430" w14:textId="1BABE3C7" w:rsidR="00EB3BB7" w:rsidRPr="00DE1BD4" w:rsidRDefault="00EB3BB7" w:rsidP="006F0A85">
        <w:pPr>
          <w:pStyle w:val="Footer"/>
          <w:framePr w:wrap="none" w:vAnchor="text" w:hAnchor="margin" w:xAlign="right" w:y="1"/>
          <w:rPr>
            <w:rStyle w:val="PageNumber"/>
          </w:rPr>
        </w:pPr>
        <w:r w:rsidRPr="00DE1BD4">
          <w:rPr>
            <w:rStyle w:val="PageNumber"/>
          </w:rPr>
          <w:fldChar w:fldCharType="begin"/>
        </w:r>
        <w:r w:rsidRPr="00DE1BD4">
          <w:rPr>
            <w:rStyle w:val="PageNumber"/>
          </w:rPr>
          <w:instrText xml:space="preserve"> PAGE </w:instrText>
        </w:r>
        <w:r w:rsidRPr="00DE1BD4">
          <w:rPr>
            <w:rStyle w:val="PageNumber"/>
          </w:rPr>
          <w:fldChar w:fldCharType="end"/>
        </w:r>
      </w:p>
    </w:sdtContent>
  </w:sdt>
  <w:p w14:paraId="267865C5" w14:textId="77777777" w:rsidR="00233240" w:rsidRPr="00DE1BD4" w:rsidRDefault="00233240" w:rsidP="00EB3BB7">
    <w:pPr>
      <w:pBdr>
        <w:top w:val="nil"/>
        <w:left w:val="nil"/>
        <w:bottom w:val="nil"/>
        <w:right w:val="nil"/>
        <w:between w:val="nil"/>
      </w:pBdr>
      <w:tabs>
        <w:tab w:val="center" w:pos="4419"/>
        <w:tab w:val="right" w:pos="8838"/>
      </w:tabs>
      <w:spacing w:after="0" w:line="240" w:lineRule="auto"/>
      <w:ind w:right="360"/>
      <w:jc w:val="right"/>
      <w:rPr>
        <w:color w:val="000000"/>
      </w:rPr>
    </w:pPr>
  </w:p>
  <w:p w14:paraId="1C062E5A" w14:textId="77777777" w:rsidR="0077223F" w:rsidRPr="00DE1BD4" w:rsidRDefault="0077223F" w:rsidP="00D149AA">
    <w:pPr>
      <w:pBdr>
        <w:top w:val="nil"/>
        <w:left w:val="nil"/>
        <w:bottom w:val="nil"/>
        <w:right w:val="nil"/>
        <w:between w:val="nil"/>
      </w:pBdr>
      <w:tabs>
        <w:tab w:val="center" w:pos="4419"/>
        <w:tab w:val="right" w:pos="8838"/>
      </w:tabs>
      <w:spacing w:after="0" w:line="240" w:lineRule="auto"/>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8"/>
        <w:szCs w:val="18"/>
      </w:rPr>
      <w:id w:val="-1240785628"/>
      <w:docPartObj>
        <w:docPartGallery w:val="Page Numbers (Bottom of Page)"/>
        <w:docPartUnique/>
      </w:docPartObj>
    </w:sdtPr>
    <w:sdtContent>
      <w:p w14:paraId="291ABE0B" w14:textId="04EFB2F6" w:rsidR="00EB3BB7" w:rsidRPr="00B9457D" w:rsidRDefault="00EB3BB7" w:rsidP="00B9457D">
        <w:pPr>
          <w:pStyle w:val="Footer"/>
          <w:framePr w:wrap="none" w:vAnchor="text" w:hAnchor="page" w:x="10096" w:y="3"/>
          <w:rPr>
            <w:rStyle w:val="PageNumber"/>
            <w:sz w:val="18"/>
            <w:szCs w:val="18"/>
          </w:rPr>
        </w:pPr>
        <w:r w:rsidRPr="00B9457D">
          <w:rPr>
            <w:rStyle w:val="PageNumber"/>
            <w:sz w:val="18"/>
            <w:szCs w:val="18"/>
          </w:rPr>
          <w:fldChar w:fldCharType="begin"/>
        </w:r>
        <w:r w:rsidRPr="00B9457D">
          <w:rPr>
            <w:rStyle w:val="PageNumber"/>
            <w:sz w:val="18"/>
            <w:szCs w:val="18"/>
          </w:rPr>
          <w:instrText xml:space="preserve"> PAGE </w:instrText>
        </w:r>
        <w:r w:rsidRPr="00B9457D">
          <w:rPr>
            <w:rStyle w:val="PageNumber"/>
            <w:sz w:val="18"/>
            <w:szCs w:val="18"/>
          </w:rPr>
          <w:fldChar w:fldCharType="separate"/>
        </w:r>
        <w:r w:rsidRPr="00B9457D">
          <w:rPr>
            <w:rStyle w:val="PageNumber"/>
            <w:sz w:val="18"/>
            <w:szCs w:val="18"/>
          </w:rPr>
          <w:t>17</w:t>
        </w:r>
        <w:r w:rsidRPr="00B9457D">
          <w:rPr>
            <w:rStyle w:val="PageNumber"/>
            <w:sz w:val="18"/>
            <w:szCs w:val="18"/>
          </w:rPr>
          <w:fldChar w:fldCharType="end"/>
        </w:r>
      </w:p>
    </w:sdtContent>
  </w:sdt>
  <w:p w14:paraId="66333431" w14:textId="7D308D9C" w:rsidR="0077223F" w:rsidRPr="00B9457D" w:rsidRDefault="0017248A" w:rsidP="0017248A">
    <w:pPr>
      <w:pBdr>
        <w:top w:val="nil"/>
        <w:left w:val="nil"/>
        <w:bottom w:val="nil"/>
        <w:right w:val="nil"/>
        <w:between w:val="nil"/>
      </w:pBdr>
      <w:tabs>
        <w:tab w:val="center" w:pos="4419"/>
        <w:tab w:val="right" w:pos="8838"/>
      </w:tabs>
      <w:spacing w:after="0" w:line="240" w:lineRule="auto"/>
      <w:rPr>
        <w:color w:val="000000"/>
        <w:sz w:val="18"/>
        <w:szCs w:val="18"/>
      </w:rPr>
    </w:pPr>
    <w:r w:rsidRPr="00B9457D">
      <w:rPr>
        <w:color w:val="000000"/>
        <w:sz w:val="20"/>
        <w:szCs w:val="20"/>
      </w:rPr>
      <w:tab/>
    </w:r>
    <w:r w:rsidRPr="00B9457D">
      <w:rPr>
        <w:color w:val="000000"/>
        <w:sz w:val="18"/>
        <w:szCs w:val="18"/>
      </w:rPr>
      <w:t>DRAFT V</w:t>
    </w:r>
    <w:r w:rsidR="00171B25" w:rsidRPr="00B9457D">
      <w:rPr>
        <w:color w:val="000000"/>
        <w:sz w:val="18"/>
        <w:szCs w:val="18"/>
      </w:rPr>
      <w:t>4</w:t>
    </w:r>
    <w:r w:rsidRPr="00B9457D">
      <w:rPr>
        <w:color w:val="000000"/>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7009F" w14:textId="77777777" w:rsidR="002748EB" w:rsidRPr="00DE1BD4" w:rsidRDefault="002748EB" w:rsidP="006D6C27">
      <w:pPr>
        <w:spacing w:after="0" w:line="240" w:lineRule="auto"/>
      </w:pPr>
      <w:r w:rsidRPr="00DE1BD4">
        <w:separator/>
      </w:r>
    </w:p>
  </w:footnote>
  <w:footnote w:type="continuationSeparator" w:id="0">
    <w:p w14:paraId="6C109847" w14:textId="77777777" w:rsidR="002748EB" w:rsidRPr="00DE1BD4" w:rsidRDefault="002748EB" w:rsidP="006D6C27">
      <w:pPr>
        <w:spacing w:after="0" w:line="240" w:lineRule="auto"/>
      </w:pPr>
      <w:r w:rsidRPr="00DE1BD4">
        <w:continuationSeparator/>
      </w:r>
    </w:p>
  </w:footnote>
  <w:footnote w:type="continuationNotice" w:id="1">
    <w:p w14:paraId="74A549B1" w14:textId="77777777" w:rsidR="002748EB" w:rsidRPr="00DE1BD4" w:rsidRDefault="002748EB">
      <w:pPr>
        <w:spacing w:after="0" w:line="240" w:lineRule="auto"/>
      </w:pPr>
    </w:p>
  </w:footnote>
  <w:footnote w:id="2">
    <w:p w14:paraId="2B4957C9" w14:textId="33BC842A" w:rsidR="00C12012" w:rsidRPr="00DE1BD4" w:rsidRDefault="00C12012">
      <w:pPr>
        <w:pStyle w:val="FootnoteText"/>
      </w:pPr>
      <w:r w:rsidRPr="0045782B">
        <w:rPr>
          <w:rStyle w:val="FootnoteReference"/>
        </w:rPr>
        <w:footnoteRef/>
      </w:r>
      <w:r w:rsidRPr="00DE1BD4">
        <w:t xml:space="preserve"> </w:t>
      </w:r>
      <w:r w:rsidRPr="00DE1BD4">
        <w:fldChar w:fldCharType="begin"/>
      </w:r>
      <w:r w:rsidR="002D4B04" w:rsidRPr="00DE1BD4">
        <w:instrText xml:space="preserve"> ADDIN ZOTERO_ITEM CSL_CITATION {"citationID":"MeIViCOX","properties":{"formattedCitation":"International Telecommunications Union, \\uc0\\u8216{}ITU Guidelines for National Emergency Telecommunication Plans\\uc0\\u8217{} &lt;https://www.itu.int/en/ITU-D/Emergency-Telecommunications/Documents/2020/NETP-guidelines.pdf&gt;.","plainCitation":"International Telecommunications Union, ‘ITU Guidelines for National Emergency Telecommunication Plans’ &lt;https://www.itu.int/en/ITU-D/Emergency-Telecommunications/Documents/2020/NETP-guidelines.pdf&gt;.","noteIndex":1},"citationItems":[{"id":1868,"uris":["http://zotero.org/groups/4544658/items/FXIK9S54"],"itemData":{"id":1868,"type":"document","publisher":"ITU Publications","title":"ITU Guidelines for National Emergency Telecommunication Plans","URL":"https://www.itu.int/en/ITU-D/Emergency-Telecommunications/Documents/2020/NETP-guidelines.pdf","author":[{"family":"International Telecommunications Union","given":""}],"accessed":{"date-parts":[["2021",8,20]]},"issued":{"date-parts":[["2020"]]}}}],"schema":"https://github.com/citation-style-language/schema/raw/master/csl-citation.json"} </w:instrText>
      </w:r>
      <w:r w:rsidRPr="00DE1BD4">
        <w:fldChar w:fldCharType="separate"/>
      </w:r>
      <w:r w:rsidRPr="00DE1BD4">
        <w:rPr>
          <w:szCs w:val="24"/>
        </w:rPr>
        <w:t>International Telecommunications Union, ‘ITU Guidelines for National Emergency Telecommunication Plans’ &lt;https://www.itu.int/en/ITU-D/Emergency-Telecommunications/Documents/2020/NETP-guidelines.pdf&gt;.</w:t>
      </w:r>
      <w:r w:rsidRPr="00DE1BD4">
        <w:fldChar w:fldCharType="end"/>
      </w:r>
    </w:p>
  </w:footnote>
  <w:footnote w:id="3">
    <w:p w14:paraId="1E6398E3" w14:textId="30FBAB77" w:rsidR="00C12012" w:rsidRPr="00DE1BD4" w:rsidRDefault="00C12012" w:rsidP="00C12012">
      <w:pPr>
        <w:pStyle w:val="FootnoteText"/>
      </w:pPr>
      <w:r w:rsidRPr="0045782B">
        <w:rPr>
          <w:rStyle w:val="FootnoteReference"/>
        </w:rPr>
        <w:footnoteRef/>
      </w:r>
      <w:r w:rsidRPr="00DE1BD4">
        <w:t xml:space="preserve"> </w:t>
      </w:r>
      <w:r w:rsidRPr="00DE1BD4">
        <w:fldChar w:fldCharType="begin"/>
      </w:r>
      <w:r w:rsidR="00E636EC" w:rsidRPr="00DE1BD4">
        <w:instrText xml:space="preserve"> ADDIN ZOTERO_ITEM CSL_CITATION {"citationID":"0t6RAIuq","properties":{"formattedCitation":"Ibid.","plainCitation":"Ibid.","noteIndex":2},"citationItems":[{"id":1868,"uris":["http://zotero.org/groups/4544658/items/FXIK9S54"],"itemData":{"id":1868,"type":"document","publisher":"ITU Publications","title":"ITU Guidelines for National Emergency Telecommunication Plans","URL":"https://www.itu.int/en/ITU-D/Emergency-Telecommunications/Documents/2020/NETP-guidelines.pdf","author":[{"family":"International Telecommunications Union","given":""}],"accessed":{"date-parts":[["2021",8,20]]},"issued":{"date-parts":[["2020"]]}}}],"schema":"https://github.com/citation-style-language/schema/raw/master/csl-citation.json"} </w:instrText>
      </w:r>
      <w:r w:rsidRPr="00DE1BD4">
        <w:fldChar w:fldCharType="separate"/>
      </w:r>
      <w:r w:rsidR="00E636EC" w:rsidRPr="00DE1BD4">
        <w:t>Ibid.</w:t>
      </w:r>
      <w:r w:rsidRPr="00DE1BD4">
        <w:fldChar w:fldCharType="end"/>
      </w:r>
    </w:p>
  </w:footnote>
  <w:footnote w:id="4">
    <w:p w14:paraId="2ED8EB56" w14:textId="2CE58206" w:rsidR="00C12012" w:rsidRPr="00DE1BD4" w:rsidRDefault="00C12012" w:rsidP="00C12012">
      <w:pPr>
        <w:pStyle w:val="FootnoteText"/>
      </w:pPr>
      <w:r w:rsidRPr="0045782B">
        <w:rPr>
          <w:rStyle w:val="FootnoteReference"/>
        </w:rPr>
        <w:footnoteRef/>
      </w:r>
      <w:r w:rsidRPr="00DE1BD4">
        <w:t xml:space="preserve"> </w:t>
      </w:r>
      <w:r w:rsidRPr="00DE1BD4">
        <w:fldChar w:fldCharType="begin"/>
      </w:r>
      <w:r w:rsidR="00E636EC" w:rsidRPr="00DE1BD4">
        <w:instrText xml:space="preserve"> ADDIN ZOTERO_ITEM CSL_CITATION {"citationID":"tcYav9hp","properties":{"formattedCitation":"Ibid.","plainCitation":"Ibid.","noteIndex":3},"citationItems":[{"id":1868,"uris":["http://zotero.org/groups/4544658/items/FXIK9S54"],"itemData":{"id":1868,"type":"document","publisher":"ITU Publications","title":"ITU Guidelines for National Emergency Telecommunication Plans","URL":"https://www.itu.int/en/ITU-D/Emergency-Telecommunications/Documents/2020/NETP-guidelines.pdf","author":[{"family":"International Telecommunications Union","given":""}],"accessed":{"date-parts":[["2021",8,20]]},"issued":{"date-parts":[["2020"]]}}}],"schema":"https://github.com/citation-style-language/schema/raw/master/csl-citation.json"} </w:instrText>
      </w:r>
      <w:r w:rsidRPr="00DE1BD4">
        <w:fldChar w:fldCharType="separate"/>
      </w:r>
      <w:r w:rsidRPr="00DE1BD4">
        <w:t>Ibid.</w:t>
      </w:r>
      <w:r w:rsidRPr="00DE1BD4">
        <w:fldChar w:fldCharType="end"/>
      </w:r>
    </w:p>
  </w:footnote>
  <w:footnote w:id="5">
    <w:p w14:paraId="48130806" w14:textId="77777777" w:rsidR="0077223F" w:rsidRPr="00DE1BD4" w:rsidRDefault="0077223F" w:rsidP="00D149AA">
      <w:pPr>
        <w:pBdr>
          <w:top w:val="nil"/>
          <w:left w:val="nil"/>
          <w:bottom w:val="nil"/>
          <w:right w:val="nil"/>
          <w:between w:val="nil"/>
        </w:pBdr>
        <w:spacing w:after="0" w:line="240" w:lineRule="auto"/>
        <w:jc w:val="left"/>
        <w:rPr>
          <w:color w:val="000000"/>
          <w:sz w:val="18"/>
        </w:rPr>
      </w:pPr>
      <w:r w:rsidRPr="0045782B">
        <w:rPr>
          <w:rStyle w:val="FootnoteReference"/>
        </w:rPr>
        <w:footnoteRef/>
      </w:r>
      <w:r w:rsidRPr="00DE1BD4">
        <w:rPr>
          <w:color w:val="000000"/>
          <w:sz w:val="18"/>
        </w:rPr>
        <w:t xml:space="preserve"> Federal Emergency Management Agency (FEMA), </w:t>
      </w:r>
      <w:r w:rsidRPr="00DE1BD4">
        <w:rPr>
          <w:i/>
          <w:color w:val="000000"/>
          <w:sz w:val="18"/>
        </w:rPr>
        <w:t>The Four Phases of Emergency Management.</w:t>
      </w:r>
    </w:p>
  </w:footnote>
  <w:footnote w:id="6">
    <w:p w14:paraId="6452A9B8" w14:textId="77777777" w:rsidR="00DD3418" w:rsidRPr="00DE1BD4" w:rsidRDefault="00DD3418" w:rsidP="00DD3418">
      <w:pPr>
        <w:spacing w:after="0"/>
        <w:rPr>
          <w:rFonts w:cstheme="minorHAnsi"/>
          <w:sz w:val="20"/>
          <w:szCs w:val="20"/>
          <w:shd w:val="clear" w:color="auto" w:fill="FFFFFF"/>
        </w:rPr>
      </w:pPr>
      <w:r w:rsidRPr="0045782B">
        <w:rPr>
          <w:rStyle w:val="FootnoteReference"/>
        </w:rPr>
        <w:footnoteRef/>
      </w:r>
      <w:r w:rsidRPr="00DE1BD4">
        <w:rPr>
          <w:rFonts w:cstheme="minorHAnsi"/>
          <w:sz w:val="20"/>
          <w:szCs w:val="20"/>
        </w:rPr>
        <w:t xml:space="preserve"> </w:t>
      </w:r>
      <w:r w:rsidRPr="00DE1BD4">
        <w:rPr>
          <w:rFonts w:cstheme="minorHAnsi"/>
          <w:sz w:val="20"/>
          <w:szCs w:val="20"/>
          <w:shd w:val="clear" w:color="auto" w:fill="FFFFFF"/>
        </w:rPr>
        <w:t xml:space="preserve">UNDRR. Early warnings for all. Retrieved from: </w:t>
      </w:r>
      <w:hyperlink r:id="rId1" w:history="1">
        <w:r w:rsidRPr="00DE1BD4">
          <w:rPr>
            <w:rStyle w:val="Hyperlink"/>
            <w:rFonts w:cstheme="minorHAnsi"/>
            <w:sz w:val="20"/>
            <w:szCs w:val="20"/>
            <w:shd w:val="clear" w:color="auto" w:fill="FFFFFF"/>
          </w:rPr>
          <w:t>https://www.undrr.org/early-warnings-for-all</w:t>
        </w:r>
      </w:hyperlink>
    </w:p>
  </w:footnote>
  <w:footnote w:id="7">
    <w:p w14:paraId="5245DCB2" w14:textId="77777777" w:rsidR="00DD3418" w:rsidRPr="00DE1BD4" w:rsidRDefault="00DD3418" w:rsidP="00DD3418">
      <w:pPr>
        <w:spacing w:after="0"/>
        <w:rPr>
          <w:rFonts w:cstheme="minorHAnsi"/>
          <w:sz w:val="20"/>
          <w:szCs w:val="20"/>
          <w:shd w:val="clear" w:color="auto" w:fill="FFFFFF"/>
        </w:rPr>
      </w:pPr>
      <w:r w:rsidRPr="0045782B">
        <w:rPr>
          <w:rStyle w:val="FootnoteReference"/>
        </w:rPr>
        <w:footnoteRef/>
      </w:r>
      <w:r w:rsidRPr="00DE1BD4">
        <w:rPr>
          <w:rFonts w:cstheme="minorHAnsi"/>
          <w:sz w:val="20"/>
          <w:szCs w:val="20"/>
        </w:rPr>
        <w:t xml:space="preserve"> </w:t>
      </w:r>
      <w:r w:rsidRPr="00DE1BD4">
        <w:rPr>
          <w:rFonts w:cstheme="minorHAnsi"/>
          <w:sz w:val="20"/>
          <w:szCs w:val="20"/>
          <w:shd w:val="clear" w:color="auto" w:fill="FFFFFF"/>
        </w:rPr>
        <w:t xml:space="preserve">WMO. (2023). Early Warnings for All Initiative scaled up into action on the ground. Retrieved from: </w:t>
      </w:r>
      <w:hyperlink r:id="rId2" w:history="1">
        <w:r w:rsidRPr="00DE1BD4">
          <w:rPr>
            <w:rStyle w:val="Hyperlink"/>
            <w:rFonts w:cstheme="minorHAnsi"/>
            <w:sz w:val="20"/>
            <w:szCs w:val="20"/>
            <w:shd w:val="clear" w:color="auto" w:fill="FFFFFF"/>
          </w:rPr>
          <w:t>https://public.wmo.int/en/media/press-release/early-warnings-all-initiative-scaled-action-ground</w:t>
        </w:r>
      </w:hyperlink>
    </w:p>
  </w:footnote>
  <w:footnote w:id="8">
    <w:p w14:paraId="5D30853C" w14:textId="77777777" w:rsidR="00DD3418" w:rsidRPr="00DE1BD4" w:rsidRDefault="00DD3418" w:rsidP="00DD3418">
      <w:pPr>
        <w:pStyle w:val="FootnoteText"/>
        <w:rPr>
          <w:rFonts w:cstheme="minorHAnsi"/>
          <w:sz w:val="16"/>
          <w:szCs w:val="16"/>
        </w:rPr>
      </w:pPr>
      <w:r w:rsidRPr="0045782B">
        <w:rPr>
          <w:rStyle w:val="FootnoteReference"/>
        </w:rPr>
        <w:footnoteRef/>
      </w:r>
      <w:r w:rsidRPr="00DE1BD4">
        <w:rPr>
          <w:rFonts w:cstheme="minorHAnsi"/>
        </w:rPr>
        <w:t xml:space="preserve"> Ibid.</w:t>
      </w:r>
      <w:r w:rsidRPr="00DE1BD4">
        <w:rPr>
          <w:rFonts w:cstheme="minorHAnsi"/>
          <w:sz w:val="16"/>
          <w:szCs w:val="16"/>
        </w:rPr>
        <w:t xml:space="preserve"> </w:t>
      </w:r>
    </w:p>
  </w:footnote>
  <w:footnote w:id="9">
    <w:p w14:paraId="53F54F0C" w14:textId="77777777" w:rsidR="008B4D09" w:rsidRPr="00DE1BD4" w:rsidRDefault="008B4D09" w:rsidP="008B4D09">
      <w:pPr>
        <w:pStyle w:val="FootnoteText"/>
        <w:rPr>
          <w:rFonts w:cstheme="minorHAnsi"/>
        </w:rPr>
      </w:pPr>
      <w:r w:rsidRPr="0045782B">
        <w:rPr>
          <w:rStyle w:val="FootnoteReference"/>
        </w:rPr>
        <w:footnoteRef/>
      </w:r>
      <w:r w:rsidRPr="00DE1BD4">
        <w:rPr>
          <w:rFonts w:cstheme="minorHAnsi"/>
        </w:rPr>
        <w:t xml:space="preserve"> </w:t>
      </w:r>
      <w:r w:rsidRPr="00DE1BD4">
        <w:rPr>
          <w:rFonts w:cstheme="minorHAnsi"/>
          <w:shd w:val="clear" w:color="auto" w:fill="FFFFFF"/>
        </w:rPr>
        <w:t xml:space="preserve">UNDRR. Early warnings for all. Retrieved from: </w:t>
      </w:r>
      <w:hyperlink r:id="rId3" w:history="1">
        <w:r w:rsidRPr="00DE1BD4">
          <w:rPr>
            <w:rStyle w:val="Hyperlink"/>
            <w:rFonts w:cstheme="minorHAnsi"/>
            <w:shd w:val="clear" w:color="auto" w:fill="FFFFFF"/>
          </w:rPr>
          <w:t>https://www.undrr.org/early-warnings-for-all</w:t>
        </w:r>
      </w:hyperlink>
    </w:p>
  </w:footnote>
  <w:footnote w:id="10">
    <w:p w14:paraId="5A6B7B13" w14:textId="77777777" w:rsidR="00BD0F93" w:rsidRPr="00DE1BD4" w:rsidRDefault="00BD0F93" w:rsidP="00BD0F93">
      <w:pPr>
        <w:pStyle w:val="FootnoteText"/>
        <w:rPr>
          <w:rFonts w:cstheme="minorHAnsi"/>
          <w:sz w:val="16"/>
          <w:szCs w:val="16"/>
        </w:rPr>
      </w:pPr>
      <w:r w:rsidRPr="0045782B">
        <w:rPr>
          <w:rStyle w:val="FootnoteReference"/>
        </w:rPr>
        <w:footnoteRef/>
      </w:r>
      <w:r w:rsidRPr="00DE1BD4">
        <w:rPr>
          <w:rFonts w:cstheme="minorHAnsi"/>
        </w:rPr>
        <w:t xml:space="preserve"> WMO. (2022). Early Warnings for All: Executive Action Plan 2023-2027 (The UN Global Early Warning Initiative for the Implementation of Climate Adaptation).</w:t>
      </w:r>
    </w:p>
  </w:footnote>
  <w:footnote w:id="11">
    <w:p w14:paraId="39FA4ED3" w14:textId="77777777" w:rsidR="000758A7" w:rsidRPr="00DE1BD4" w:rsidRDefault="000758A7" w:rsidP="000758A7">
      <w:pPr>
        <w:pStyle w:val="FootnoteText"/>
        <w:rPr>
          <w:rFonts w:cstheme="minorHAnsi"/>
          <w:sz w:val="16"/>
          <w:szCs w:val="16"/>
        </w:rPr>
      </w:pPr>
      <w:r w:rsidRPr="0045782B">
        <w:rPr>
          <w:rStyle w:val="FootnoteReference"/>
        </w:rPr>
        <w:footnoteRef/>
      </w:r>
      <w:r w:rsidRPr="00DE1BD4">
        <w:rPr>
          <w:rFonts w:cstheme="minorHAnsi"/>
          <w:sz w:val="16"/>
          <w:szCs w:val="16"/>
        </w:rPr>
        <w:t xml:space="preserve"> WMO. (2022). Early Warnings for All: Executive Action Plan 2023-2027 (The UN Global Early Warning Initiative for the Implementation of Climate Adaptation).</w:t>
      </w:r>
    </w:p>
  </w:footnote>
  <w:footnote w:id="12">
    <w:p w14:paraId="52D39E4F" w14:textId="6244AF28" w:rsidR="00631CE8" w:rsidRPr="00DE1BD4" w:rsidRDefault="00631CE8" w:rsidP="00C90A80">
      <w:pPr>
        <w:pStyle w:val="FootnoteText"/>
        <w:jc w:val="left"/>
      </w:pPr>
      <w:r w:rsidRPr="0045782B">
        <w:rPr>
          <w:rStyle w:val="FootnoteReference"/>
        </w:rPr>
        <w:footnoteRef/>
      </w:r>
      <w:r w:rsidRPr="00DE1BD4">
        <w:t xml:space="preserve"> </w:t>
      </w:r>
      <w:r w:rsidRPr="00DE1BD4">
        <w:fldChar w:fldCharType="begin"/>
      </w:r>
      <w:r w:rsidR="00E636EC" w:rsidRPr="00DE1BD4">
        <w:instrText xml:space="preserve"> ADDIN ZOTERO_ITEM CSL_CITATION {"citationID":"d1TDW1UC","properties":{"formattedCitation":"UN Department of Economic and Social Affairs, \\uc0\\u8216{}UN International Strategy for Disaster Reduction (UNISDR)\\uc0\\u8217{} &lt;https://sdgs.un.org/statements/un-international-strategy-disaster-reduction-unisdr-8377&gt;.","plainCitation":"UN Department of Economic and Social Affairs, ‘UN International Strategy for Disaster Reduction (UNISDR)’ &lt;https://sdgs.un.org/statements/un-international-strategy-disaster-reduction-unisdr-8377&gt;.","noteIndex":11},"citationItems":[{"id":1355,"uris":["http://zotero.org/groups/4544658/items/9QCJ5CTE"],"itemData":{"id":1355,"type":"webpage","title":"UN International Strategy for Disaster Reduction (UNISDR)","URL":"https://sdgs.un.org/statements/un-international-strategy-disaster-reduction-unisdr-8377","author":[{"literal":"UN Department of Economic and Social Affairs"}],"accessed":{"date-parts":[["2021",12,23]]}}}],"schema":"https://github.com/citation-style-language/schema/raw/master/csl-citation.json"} </w:instrText>
      </w:r>
      <w:r w:rsidRPr="00DE1BD4">
        <w:fldChar w:fldCharType="separate"/>
      </w:r>
      <w:r w:rsidRPr="00DE1BD4">
        <w:rPr>
          <w:szCs w:val="24"/>
        </w:rPr>
        <w:t>UN Department of Economic and Social Affairs, ‘UN International Strategy for Disaster Reduction (UNISDR)’ &lt;https://sdgs.un.org/statements/un-international-strategy-disaster-reduction-unisdr-8377&gt;.</w:t>
      </w:r>
      <w:r w:rsidRPr="00DE1BD4">
        <w:fldChar w:fldCharType="end"/>
      </w:r>
    </w:p>
  </w:footnote>
  <w:footnote w:id="13">
    <w:p w14:paraId="2B98BC3C" w14:textId="1078DC23" w:rsidR="00AE7DAC" w:rsidRDefault="00AE7DAC">
      <w:pPr>
        <w:pStyle w:val="FootnoteText"/>
      </w:pPr>
      <w:r w:rsidRPr="0045782B">
        <w:rPr>
          <w:rStyle w:val="FootnoteReference"/>
        </w:rPr>
        <w:footnoteRef/>
      </w:r>
      <w:r>
        <w:t xml:space="preserve"> </w:t>
      </w:r>
      <w:r>
        <w:fldChar w:fldCharType="begin"/>
      </w:r>
      <w:r>
        <w:instrText xml:space="preserve"> ADDIN ZOTERO_ITEM CSL_CITATION {"citationID":"n8ZN0y10","properties":{"formattedCitation":"The Government of the Republic of The Gambia, \\uc0\\u8216{}National Disaster Management Policy\\uc0\\u8217{}.","plainCitation":"The Government of the Republic of The Gambia, ‘National Disaster Management Policy’.","noteIndex":12},"citationItems":[{"id":3311,"uris":["http://zotero.org/groups/5638933/items/A6WXJ7HP"],"itemData":{"id":3311,"type":"document","title":"National Disaster Management Policy","author":[{"literal":"The Government of the Republic of The Gambia"}],"issued":{"date-parts":[["2007"]]}}}],"schema":"https://github.com/citation-style-language/schema/raw/master/csl-citation.json"} </w:instrText>
      </w:r>
      <w:r>
        <w:fldChar w:fldCharType="separate"/>
      </w:r>
      <w:r w:rsidRPr="00AE7DAC">
        <w:t>The Government of the Republic of The Gambia, ‘National Disaster Management Policy’.</w:t>
      </w:r>
      <w:r>
        <w:fldChar w:fldCharType="end"/>
      </w:r>
    </w:p>
  </w:footnote>
  <w:footnote w:id="14">
    <w:p w14:paraId="278928F9" w14:textId="6A104024" w:rsidR="000C4A34" w:rsidRDefault="000C4A34">
      <w:pPr>
        <w:pStyle w:val="FootnoteText"/>
      </w:pPr>
      <w:r w:rsidRPr="0045782B">
        <w:rPr>
          <w:rStyle w:val="FootnoteReference"/>
        </w:rPr>
        <w:footnoteRef/>
      </w:r>
      <w:r>
        <w:t xml:space="preserve"> </w:t>
      </w:r>
      <w:r>
        <w:fldChar w:fldCharType="begin"/>
      </w:r>
      <w:r>
        <w:instrText xml:space="preserve"> ADDIN ZOTERO_ITEM CSL_CITATION {"citationID":"xW9tCv7T","properties":{"formattedCitation":"Ibid.","plainCitation":"Ibid.","noteIndex":13},"citationItems":[{"id":3311,"uris":["http://zotero.org/groups/5638933/items/A6WXJ7HP"],"itemData":{"id":3311,"type":"document","title":"National Disaster Management Policy","author":[{"literal":"The Government of the Republic of The Gambia"}],"issued":{"date-parts":[["2007"]]}}}],"schema":"https://github.com/citation-style-language/schema/raw/master/csl-citation.json"} </w:instrText>
      </w:r>
      <w:r>
        <w:fldChar w:fldCharType="separate"/>
      </w:r>
      <w:r w:rsidRPr="000C4A34">
        <w:t>Ibid.</w:t>
      </w:r>
      <w:r>
        <w:fldChar w:fldCharType="end"/>
      </w:r>
    </w:p>
  </w:footnote>
  <w:footnote w:id="15">
    <w:p w14:paraId="3DC1F44D" w14:textId="36708482" w:rsidR="0088221E" w:rsidRDefault="0088221E">
      <w:pPr>
        <w:pStyle w:val="FootnoteText"/>
      </w:pPr>
      <w:r w:rsidRPr="0045782B">
        <w:rPr>
          <w:rStyle w:val="FootnoteReference"/>
        </w:rPr>
        <w:footnoteRef/>
      </w:r>
      <w:r>
        <w:t xml:space="preserve"> </w:t>
      </w:r>
      <w:r>
        <w:fldChar w:fldCharType="begin"/>
      </w:r>
      <w:r>
        <w:instrText xml:space="preserve"> ADDIN ZOTERO_ITEM CSL_CITATION {"citationID":"daOS7JCL","properties":{"formattedCitation":"The Government of the Republic of The Gambia, \\uc0\\u8216{}National Disaster Management Act\\uc0\\u8217{}.","plainCitation":"The Government of the Republic of The Gambia, ‘National Disaster Management Act’.","noteIndex":14},"citationItems":[{"id":3312,"uris":["http://zotero.org/groups/5638933/items/SZVT2SNT"],"itemData":{"id":3312,"type":"document","title":"National Disaster Management Act","author":[{"literal":"The Government of the Republic of The Gambia"}],"issued":{"date-parts":[["2008"]]}}}],"schema":"https://github.com/citation-style-language/schema/raw/master/csl-citation.json"} </w:instrText>
      </w:r>
      <w:r>
        <w:fldChar w:fldCharType="separate"/>
      </w:r>
      <w:r w:rsidRPr="0088221E">
        <w:t>The Government of the Republic of The Gambia, ‘National Disaster Management Act’.</w:t>
      </w:r>
      <w:r>
        <w:fldChar w:fldCharType="end"/>
      </w:r>
    </w:p>
  </w:footnote>
  <w:footnote w:id="16">
    <w:p w14:paraId="5154E4CE" w14:textId="63823C2A" w:rsidR="00D5071D" w:rsidRDefault="00D5071D">
      <w:pPr>
        <w:pStyle w:val="FootnoteText"/>
      </w:pPr>
      <w:r w:rsidRPr="0045782B">
        <w:rPr>
          <w:rStyle w:val="FootnoteReference"/>
        </w:rPr>
        <w:footnoteRef/>
      </w:r>
      <w:r>
        <w:t xml:space="preserve"> </w:t>
      </w:r>
      <w:r>
        <w:fldChar w:fldCharType="begin"/>
      </w:r>
      <w:r>
        <w:instrText xml:space="preserve"> ADDIN ZOTERO_ITEM CSL_CITATION {"citationID":"R7dbs0pE","properties":{"formattedCitation":"The Gambia Red Cross Society, \\uc0\\u8216{}International Disaster Response Law (IDRL) in The Gambia\\uc0\\u8217{} &lt;https://disasterlaw.ifrc.org/media/2064&gt;.","plainCitation":"The Gambia Red Cross Society, ‘International Disaster Response Law (IDRL) in The Gambia’ &lt;https://disasterlaw.ifrc.org/media/2064&gt;.","noteIndex":15},"citationItems":[{"id":3305,"uris":["http://zotero.org/groups/5638933/items/8BN9TELR"],"itemData":{"id":3305,"type":"document","publisher":"IFRC","title":"International Disaster Response Law (IDRL) in The Gambia","URL":"https://disasterlaw.ifrc.org/media/2064","author":[{"literal":"The Gambia Red Cross Society"}],"accessed":{"date-parts":[["2024",9,14]]},"issued":{"date-parts":[["2016"]]}}}],"schema":"https://github.com/citation-style-language/schema/raw/master/csl-citation.json"} </w:instrText>
      </w:r>
      <w:r>
        <w:fldChar w:fldCharType="separate"/>
      </w:r>
      <w:r w:rsidRPr="00D5071D">
        <w:t>The Gambia Red Cross Society, ‘International Disaster Response Law (IDRL) in The Gambia’ &lt;https://disasterlaw.ifrc.org/media/2064&gt;.</w:t>
      </w:r>
      <w:r>
        <w:fldChar w:fldCharType="end"/>
      </w:r>
    </w:p>
  </w:footnote>
  <w:footnote w:id="17">
    <w:p w14:paraId="6A5CDC0B" w14:textId="5F6FB931" w:rsidR="006A72D3" w:rsidRDefault="006A72D3">
      <w:pPr>
        <w:pStyle w:val="FootnoteText"/>
      </w:pPr>
      <w:r w:rsidRPr="0045782B">
        <w:rPr>
          <w:rStyle w:val="FootnoteReference"/>
        </w:rPr>
        <w:footnoteRef/>
      </w:r>
      <w:r>
        <w:t xml:space="preserve"> </w:t>
      </w:r>
      <w:r>
        <w:fldChar w:fldCharType="begin"/>
      </w:r>
      <w:r w:rsidR="004C06FF">
        <w:instrText xml:space="preserve"> ADDIN ZOTERO_ITEM CSL_CITATION {"citationID":"3tGQJifx","properties":{"formattedCitation":"The Government of the Republic of The Gambia, \\uc0\\u8216{}National Disaster Management Act\\uc0\\u8217{} (n 14).","plainCitation":"The Government of the Republic of The Gambia, ‘National Disaster Management Act’ (n 14).","noteIndex":16},"citationItems":[{"id":3312,"uris":["http://zotero.org/groups/5638933/items/SZVT2SNT"],"itemData":{"id":3312,"type":"document","title":"National Disaster Management Act","author":[{"literal":"The Government of the Republic of The Gambia"}],"issued":{"date-parts":[["2008"]]}}}],"schema":"https://github.com/citation-style-language/schema/raw/master/csl-citation.json"} </w:instrText>
      </w:r>
      <w:r>
        <w:fldChar w:fldCharType="separate"/>
      </w:r>
      <w:r w:rsidR="004C06FF" w:rsidRPr="004C06FF">
        <w:t>The Government of the Republic of The Gambia, ‘National Disaster Management Act’ (n 14).</w:t>
      </w:r>
      <w:r>
        <w:fldChar w:fldCharType="end"/>
      </w:r>
    </w:p>
  </w:footnote>
  <w:footnote w:id="18">
    <w:p w14:paraId="145E7B31" w14:textId="6DADB261" w:rsidR="00355B8F" w:rsidRDefault="00355B8F">
      <w:pPr>
        <w:pStyle w:val="FootnoteText"/>
      </w:pPr>
      <w:r w:rsidRPr="0045782B">
        <w:rPr>
          <w:rStyle w:val="FootnoteReference"/>
        </w:rPr>
        <w:footnoteRef/>
      </w:r>
      <w:r>
        <w:t xml:space="preserve"> </w:t>
      </w:r>
      <w:r>
        <w:fldChar w:fldCharType="begin"/>
      </w:r>
      <w:r>
        <w:instrText xml:space="preserve"> ADDIN ZOTERO_ITEM CSL_CITATION {"citationID":"nvKVLo63","properties":{"formattedCitation":"Ibid 77.","plainCitation":"Ibid 77.","noteIndex":17},"citationItems":[{"id":3312,"uris":["http://zotero.org/groups/5638933/items/SZVT2SNT"],"itemData":{"id":3312,"type":"document","title":"National Disaster Management Act","author":[{"literal":"The Government of the Republic of The Gambia"}],"issued":{"date-parts":[["2008"]]}},"locator":"77","label":"page"}],"schema":"https://github.com/citation-style-language/schema/raw/master/csl-citation.json"} </w:instrText>
      </w:r>
      <w:r>
        <w:fldChar w:fldCharType="separate"/>
      </w:r>
      <w:r w:rsidRPr="00355B8F">
        <w:t>Ibid 77.</w:t>
      </w:r>
      <w:r>
        <w:fldChar w:fldCharType="end"/>
      </w:r>
    </w:p>
  </w:footnote>
  <w:footnote w:id="19">
    <w:p w14:paraId="69279E98" w14:textId="5F793210" w:rsidR="00355B8F" w:rsidRDefault="00355B8F">
      <w:pPr>
        <w:pStyle w:val="FootnoteText"/>
      </w:pPr>
      <w:r w:rsidRPr="0045782B">
        <w:rPr>
          <w:rStyle w:val="FootnoteReference"/>
        </w:rPr>
        <w:footnoteRef/>
      </w:r>
      <w:r>
        <w:t xml:space="preserve"> </w:t>
      </w:r>
      <w:r>
        <w:fldChar w:fldCharType="begin"/>
      </w:r>
      <w:r>
        <w:instrText xml:space="preserve"> ADDIN ZOTERO_ITEM CSL_CITATION {"citationID":"xzdVyc4b","properties":{"formattedCitation":"Ibid 93.","plainCitation":"Ibid 93.","noteIndex":18},"citationItems":[{"id":3312,"uris":["http://zotero.org/groups/5638933/items/SZVT2SNT"],"itemData":{"id":3312,"type":"document","title":"National Disaster Management Act","author":[{"literal":"The Government of the Republic of The Gambia"}],"issued":{"date-parts":[["2008"]]}},"locator":"93","label":"page"}],"schema":"https://github.com/citation-style-language/schema/raw/master/csl-citation.json"} </w:instrText>
      </w:r>
      <w:r>
        <w:fldChar w:fldCharType="separate"/>
      </w:r>
      <w:r w:rsidRPr="00355B8F">
        <w:t>Ibid 93.</w:t>
      </w:r>
      <w:r>
        <w:fldChar w:fldCharType="end"/>
      </w:r>
    </w:p>
  </w:footnote>
  <w:footnote w:id="20">
    <w:p w14:paraId="0AA4B282" w14:textId="5DE2B8EB" w:rsidR="00D618F5" w:rsidRDefault="00D618F5">
      <w:pPr>
        <w:pStyle w:val="FootnoteText"/>
      </w:pPr>
      <w:r w:rsidRPr="0045782B">
        <w:rPr>
          <w:rStyle w:val="FootnoteReference"/>
        </w:rPr>
        <w:footnoteRef/>
      </w:r>
      <w:r>
        <w:t xml:space="preserve"> </w:t>
      </w:r>
      <w:r>
        <w:fldChar w:fldCharType="begin"/>
      </w:r>
      <w:r>
        <w:instrText xml:space="preserve"> ADDIN ZOTERO_ITEM CSL_CITATION {"citationID":"2CZapGCi","properties":{"formattedCitation":"The Gambia Red Cross Society (n 15).","plainCitation":"The Gambia Red Cross Society (n 15).","noteIndex":19},"citationItems":[{"id":3305,"uris":["http://zotero.org/groups/5638933/items/8BN9TELR"],"itemData":{"id":3305,"type":"document","publisher":"IFRC","title":"International Disaster Response Law (IDRL) in The Gambia","URL":"https://disasterlaw.ifrc.org/media/2064","author":[{"literal":"The Gambia Red Cross Society"}],"accessed":{"date-parts":[["2024",9,14]]},"issued":{"date-parts":[["2016"]]}}}],"schema":"https://github.com/citation-style-language/schema/raw/master/csl-citation.json"} </w:instrText>
      </w:r>
      <w:r>
        <w:fldChar w:fldCharType="separate"/>
      </w:r>
      <w:r w:rsidRPr="00D618F5">
        <w:t>The Gambia Red Cross Society (n 15).</w:t>
      </w:r>
      <w:r>
        <w:fldChar w:fldCharType="end"/>
      </w:r>
    </w:p>
  </w:footnote>
  <w:footnote w:id="21">
    <w:p w14:paraId="501F9542" w14:textId="5A890040" w:rsidR="00A846DB" w:rsidRDefault="00A846DB">
      <w:pPr>
        <w:pStyle w:val="FootnoteText"/>
      </w:pPr>
      <w:r w:rsidRPr="0045782B">
        <w:rPr>
          <w:rStyle w:val="FootnoteReference"/>
        </w:rPr>
        <w:footnoteRef/>
      </w:r>
      <w:r>
        <w:t xml:space="preserve"> </w:t>
      </w:r>
      <w:r>
        <w:fldChar w:fldCharType="begin"/>
      </w:r>
      <w:r>
        <w:instrText xml:space="preserve"> ADDIN ZOTERO_ITEM CSL_CITATION {"citationID":"8GGmrYYI","properties":{"formattedCitation":"Ibid 57.","plainCitation":"Ibid 57.","noteIndex":20},"citationItems":[{"id":3305,"uris":["http://zotero.org/groups/5638933/items/8BN9TELR"],"itemData":{"id":3305,"type":"document","publisher":"IFRC","title":"International Disaster Response Law (IDRL) in The Gambia","URL":"https://disasterlaw.ifrc.org/media/2064","author":[{"literal":"The Gambia Red Cross Society"}],"accessed":{"date-parts":[["2024",9,14]]},"issued":{"date-parts":[["2016"]]}},"locator":"57","label":"page"}],"schema":"https://github.com/citation-style-language/schema/raw/master/csl-citation.json"} </w:instrText>
      </w:r>
      <w:r>
        <w:fldChar w:fldCharType="separate"/>
      </w:r>
      <w:r w:rsidRPr="00A846DB">
        <w:t>Ibid 57.</w:t>
      </w:r>
      <w:r>
        <w:fldChar w:fldCharType="end"/>
      </w:r>
    </w:p>
  </w:footnote>
  <w:footnote w:id="22">
    <w:p w14:paraId="3CCF4D7A" w14:textId="7C469F37" w:rsidR="003A47FA" w:rsidRDefault="003A47FA">
      <w:pPr>
        <w:pStyle w:val="FootnoteText"/>
      </w:pPr>
      <w:r>
        <w:rPr>
          <w:rStyle w:val="FootnoteReference"/>
        </w:rPr>
        <w:footnoteRef/>
      </w:r>
      <w:r>
        <w:t xml:space="preserve"> </w:t>
      </w:r>
      <w:r>
        <w:fldChar w:fldCharType="begin"/>
      </w:r>
      <w:r w:rsidR="00F3166A">
        <w:instrText xml:space="preserve"> ADDIN ZOTERO_ITEM CSL_CITATION {"citationID":"xGcAbTaP","properties":{"formattedCitation":"Penny Urquart, \\uc0\\u8216{}National Climate Change Policy of The Gambia (Final Report: Final Draft)\\uc0\\u8217{}.","plainCitation":"Penny Urquart, ‘National Climate Change Policy of The Gambia (Final Report: Final Draft)’.","noteIndex":21},"citationItems":[{"id":3363,"uris":["http://zotero.org/groups/5638933/items/WAANENUX"],"itemData":{"id":3363,"type":"document","publisher":"Global Climate Change Alliance","title":"National Climate Change Policy of The Gambia (Final Report: Final Draft)","author":[{"literal":"Penny Urquart"}],"issued":{"date-parts":[["2016"]]}}}],"schema":"https://github.com/citation-style-language/schema/raw/master/csl-citation.json"} </w:instrText>
      </w:r>
      <w:r>
        <w:fldChar w:fldCharType="separate"/>
      </w:r>
      <w:r w:rsidRPr="003A47FA">
        <w:t>Penny Urquart, ‘National Climate Change Policy of The Gambia (Final Report: Final Draft)’.</w:t>
      </w:r>
      <w:r>
        <w:fldChar w:fldCharType="end"/>
      </w:r>
    </w:p>
  </w:footnote>
  <w:footnote w:id="23">
    <w:p w14:paraId="4185453F" w14:textId="631EA94A" w:rsidR="00962CF6" w:rsidRDefault="00962CF6">
      <w:pPr>
        <w:pStyle w:val="FootnoteText"/>
      </w:pPr>
      <w:r>
        <w:rPr>
          <w:rStyle w:val="FootnoteReference"/>
        </w:rPr>
        <w:footnoteRef/>
      </w:r>
      <w:r>
        <w:t xml:space="preserve"> </w:t>
      </w:r>
      <w:r>
        <w:fldChar w:fldCharType="begin"/>
      </w:r>
      <w:r w:rsidR="00F3166A">
        <w:instrText xml:space="preserve"> ADDIN ZOTERO_ITEM CSL_CITATION {"citationID":"IAIEQGGg","properties":{"formattedCitation":"Ibid 17.","plainCitation":"Ibid 17.","noteIndex":22},"citationItems":[{"id":3363,"uris":["http://zotero.org/groups/5638933/items/WAANENUX"],"itemData":{"id":3363,"type":"document","publisher":"Global Climate Change Alliance","title":"National Climate Change Policy of The Gambia (Final Report: Final Draft)","author":[{"literal":"Penny Urquart"}],"issued":{"date-parts":[["2016"]]}},"locator":"17","label":"page"}],"schema":"https://github.com/citation-style-language/schema/raw/master/csl-citation.json"} </w:instrText>
      </w:r>
      <w:r>
        <w:fldChar w:fldCharType="separate"/>
      </w:r>
      <w:r w:rsidRPr="00962CF6">
        <w:t>Ibid 17.</w:t>
      </w:r>
      <w:r>
        <w:fldChar w:fldCharType="end"/>
      </w:r>
    </w:p>
  </w:footnote>
  <w:footnote w:id="24">
    <w:p w14:paraId="31474A1F" w14:textId="395B1B78" w:rsidR="0041130B" w:rsidRDefault="0041130B">
      <w:pPr>
        <w:pStyle w:val="FootnoteText"/>
      </w:pPr>
      <w:r>
        <w:rPr>
          <w:rStyle w:val="FootnoteReference"/>
        </w:rPr>
        <w:footnoteRef/>
      </w:r>
      <w:r>
        <w:t xml:space="preserve"> </w:t>
      </w:r>
      <w:r>
        <w:fldChar w:fldCharType="begin"/>
      </w:r>
      <w:r w:rsidR="00F3166A">
        <w:instrText xml:space="preserve"> ADDIN ZOTERO_ITEM CSL_CITATION {"citationID":"GwP3BxJC","properties":{"formattedCitation":"Ibid 47.","plainCitation":"Ibid 47.","noteIndex":23},"citationItems":[{"id":3363,"uris":["http://zotero.org/groups/5638933/items/WAANENUX"],"itemData":{"id":3363,"type":"document","publisher":"Global Climate Change Alliance","title":"National Climate Change Policy of The Gambia (Final Report: Final Draft)","author":[{"literal":"Penny Urquart"}],"issued":{"date-parts":[["2016"]]}},"locator":"47","label":"page"}],"schema":"https://github.com/citation-style-language/schema/raw/master/csl-citation.json"} </w:instrText>
      </w:r>
      <w:r>
        <w:fldChar w:fldCharType="separate"/>
      </w:r>
      <w:r w:rsidRPr="0041130B">
        <w:t>Ibid 47.</w:t>
      </w:r>
      <w:r>
        <w:fldChar w:fldCharType="end"/>
      </w:r>
    </w:p>
  </w:footnote>
  <w:footnote w:id="25">
    <w:p w14:paraId="1DF6F79C" w14:textId="12DA892E" w:rsidR="004C06FF" w:rsidRDefault="004C06FF">
      <w:pPr>
        <w:pStyle w:val="FootnoteText"/>
      </w:pPr>
      <w:r>
        <w:rPr>
          <w:rStyle w:val="FootnoteReference"/>
        </w:rPr>
        <w:footnoteRef/>
      </w:r>
      <w:r>
        <w:t xml:space="preserve"> </w:t>
      </w:r>
      <w:r>
        <w:fldChar w:fldCharType="begin"/>
      </w:r>
      <w:r>
        <w:instrText xml:space="preserve"> ADDIN ZOTERO_ITEM CSL_CITATION {"citationID":"5oEUYS0V","properties":{"formattedCitation":"The Government of the Republic of The Gambia, \\uc0\\u8216{}Recovery Focused National Development Plan 2023 - 2027\\uc0\\u8217{}.","plainCitation":"The Government of the Republic of The Gambia, ‘Recovery Focused National Development Plan 2023 - 2027’.","noteIndex":24},"citationItems":[{"id":3322,"uris":["http://zotero.org/groups/5638933/items/3UXDF7Z3"],"itemData":{"id":3322,"type":"document","title":"Recovery Focused National Development Plan 2023 - 2027","author":[{"literal":"The Government of the Republic of The Gambia"}],"issued":{"date-parts":[["2022"]]}}}],"schema":"https://github.com/citation-style-language/schema/raw/master/csl-citation.json"} </w:instrText>
      </w:r>
      <w:r>
        <w:fldChar w:fldCharType="separate"/>
      </w:r>
      <w:r w:rsidRPr="004C06FF">
        <w:t>The Government of the Republic of The Gambia, ‘Recovery Focused National Development Plan 2023 - 2027’.</w:t>
      </w:r>
      <w:r>
        <w:fldChar w:fldCharType="end"/>
      </w:r>
    </w:p>
  </w:footnote>
  <w:footnote w:id="26">
    <w:p w14:paraId="1DA3531B" w14:textId="1DB102EB" w:rsidR="00D25BB7" w:rsidRDefault="00D25BB7">
      <w:pPr>
        <w:pStyle w:val="FootnoteText"/>
      </w:pPr>
      <w:r>
        <w:rPr>
          <w:rStyle w:val="FootnoteReference"/>
        </w:rPr>
        <w:footnoteRef/>
      </w:r>
      <w:r>
        <w:t xml:space="preserve"> </w:t>
      </w:r>
      <w:r>
        <w:fldChar w:fldCharType="begin"/>
      </w:r>
      <w:r>
        <w:instrText xml:space="preserve"> ADDIN ZOTERO_ITEM CSL_CITATION {"citationID":"laRkJLKq","properties":{"formattedCitation":"Ibid 8.","plainCitation":"Ibid 8.","noteIndex":25},"citationItems":[{"id":3322,"uris":["http://zotero.org/groups/5638933/items/3UXDF7Z3"],"itemData":{"id":3322,"type":"document","title":"Recovery Focused National Development Plan 2023 - 2027","author":[{"literal":"The Government of the Republic of The Gambia"}],"issued":{"date-parts":[["2022"]]}},"locator":"8","label":"page"}],"schema":"https://github.com/citation-style-language/schema/raw/master/csl-citation.json"} </w:instrText>
      </w:r>
      <w:r>
        <w:fldChar w:fldCharType="separate"/>
      </w:r>
      <w:r w:rsidRPr="00D25BB7">
        <w:t>Ibid 8.</w:t>
      </w:r>
      <w:r>
        <w:fldChar w:fldCharType="end"/>
      </w:r>
    </w:p>
  </w:footnote>
  <w:footnote w:id="27">
    <w:p w14:paraId="5D82F183" w14:textId="272DDB1F" w:rsidR="00932E92" w:rsidRDefault="00932E92">
      <w:pPr>
        <w:pStyle w:val="FootnoteText"/>
      </w:pPr>
      <w:r>
        <w:rPr>
          <w:rStyle w:val="FootnoteReference"/>
        </w:rPr>
        <w:footnoteRef/>
      </w:r>
      <w:r>
        <w:t xml:space="preserve"> </w:t>
      </w:r>
      <w:r>
        <w:fldChar w:fldCharType="begin"/>
      </w:r>
      <w:r>
        <w:instrText xml:space="preserve"> ADDIN ZOTERO_ITEM CSL_CITATION {"citationID":"7467vQES","properties":{"formattedCitation":"Ibid 57.","plainCitation":"Ibid 57.","noteIndex":26},"citationItems":[{"id":3322,"uris":["http://zotero.org/groups/5638933/items/3UXDF7Z3"],"itemData":{"id":3322,"type":"document","title":"Recovery Focused National Development Plan 2023 - 2027","author":[{"literal":"The Government of the Republic of The Gambia"}],"issued":{"date-parts":[["2022"]]}},"locator":"57","label":"page"}],"schema":"https://github.com/citation-style-language/schema/raw/master/csl-citation.json"} </w:instrText>
      </w:r>
      <w:r>
        <w:fldChar w:fldCharType="separate"/>
      </w:r>
      <w:r w:rsidRPr="00932E92">
        <w:t>Ibid 57.</w:t>
      </w:r>
      <w:r>
        <w:fldChar w:fldCharType="end"/>
      </w:r>
    </w:p>
  </w:footnote>
  <w:footnote w:id="28">
    <w:p w14:paraId="24F56A7F" w14:textId="1E31D871" w:rsidR="00E12952" w:rsidRDefault="00E12952">
      <w:pPr>
        <w:pStyle w:val="FootnoteText"/>
      </w:pPr>
      <w:r>
        <w:rPr>
          <w:rStyle w:val="FootnoteReference"/>
        </w:rPr>
        <w:footnoteRef/>
      </w:r>
      <w:r>
        <w:t xml:space="preserve"> </w:t>
      </w:r>
      <w:r>
        <w:fldChar w:fldCharType="begin"/>
      </w:r>
      <w:r>
        <w:instrText xml:space="preserve"> ADDIN ZOTERO_ITEM CSL_CITATION {"citationID":"WAksHR9s","properties":{"formattedCitation":"The Government of the Republic of The Gambia, \\uc0\\u8216{}The Gambia 2050 Climate Vision\\uc0\\u8217{}.","plainCitation":"The Government of the Republic of The Gambia, ‘The Gambia 2050 Climate Vision’.","noteIndex":27},"citationItems":[{"id":3364,"uris":["http://zotero.org/groups/5638933/items/3QBY8VQF"],"itemData":{"id":3364,"type":"document","title":"The Gambia 2050 Climate Vision","author":[{"literal":"The Government of the Republic of The Gambia"}],"issued":{"date-parts":[["2021"]]}}}],"schema":"https://github.com/citation-style-language/schema/raw/master/csl-citation.json"} </w:instrText>
      </w:r>
      <w:r>
        <w:fldChar w:fldCharType="separate"/>
      </w:r>
      <w:r w:rsidRPr="00E12952">
        <w:t>The Government of the Republic of The Gambia, ‘The Gambia 2050 Climate Vision’.</w:t>
      </w:r>
      <w:r>
        <w:fldChar w:fldCharType="end"/>
      </w:r>
    </w:p>
  </w:footnote>
  <w:footnote w:id="29">
    <w:p w14:paraId="73F48DEC" w14:textId="42AA6FE2" w:rsidR="00F32A6A" w:rsidRDefault="00F32A6A">
      <w:pPr>
        <w:pStyle w:val="FootnoteText"/>
      </w:pPr>
      <w:r>
        <w:rPr>
          <w:rStyle w:val="FootnoteReference"/>
        </w:rPr>
        <w:footnoteRef/>
      </w:r>
      <w:r>
        <w:t xml:space="preserve"> </w:t>
      </w:r>
      <w:r>
        <w:fldChar w:fldCharType="begin"/>
      </w:r>
      <w:r>
        <w:instrText xml:space="preserve"> ADDIN ZOTERO_ITEM CSL_CITATION {"citationID":"5U5vohcR","properties":{"formattedCitation":"Ibid 14.","plainCitation":"Ibid 14.","noteIndex":28},"citationItems":[{"id":3364,"uris":["http://zotero.org/groups/5638933/items/3QBY8VQF"],"itemData":{"id":3364,"type":"document","title":"The Gambia 2050 Climate Vision","author":[{"literal":"The Government of the Republic of The Gambia"}],"issued":{"date-parts":[["2021"]]}},"locator":"14","label":"page"}],"schema":"https://github.com/citation-style-language/schema/raw/master/csl-citation.json"} </w:instrText>
      </w:r>
      <w:r>
        <w:fldChar w:fldCharType="separate"/>
      </w:r>
      <w:r w:rsidRPr="00F32A6A">
        <w:t>Ibid 14.</w:t>
      </w:r>
      <w:r>
        <w:fldChar w:fldCharType="end"/>
      </w:r>
    </w:p>
  </w:footnote>
  <w:footnote w:id="30">
    <w:p w14:paraId="276EFBDD" w14:textId="1F0259B2" w:rsidR="00171D4B" w:rsidRDefault="00171D4B">
      <w:pPr>
        <w:pStyle w:val="FootnoteText"/>
      </w:pPr>
      <w:r>
        <w:rPr>
          <w:rStyle w:val="FootnoteReference"/>
        </w:rPr>
        <w:footnoteRef/>
      </w:r>
      <w:r>
        <w:t xml:space="preserve"> </w:t>
      </w:r>
      <w:r>
        <w:fldChar w:fldCharType="begin"/>
      </w:r>
      <w:r>
        <w:instrText xml:space="preserve"> ADDIN ZOTERO_ITEM CSL_CITATION {"citationID":"TTGGDvjl","properties":{"formattedCitation":"Ibid 17.","plainCitation":"Ibid 17.","noteIndex":29},"citationItems":[{"id":3364,"uris":["http://zotero.org/groups/5638933/items/3QBY8VQF"],"itemData":{"id":3364,"type":"document","title":"The Gambia 2050 Climate Vision","author":[{"literal":"The Government of the Republic of The Gambia"}],"issued":{"date-parts":[["2021"]]}},"locator":"17","label":"page"}],"schema":"https://github.com/citation-style-language/schema/raw/master/csl-citation.json"} </w:instrText>
      </w:r>
      <w:r>
        <w:fldChar w:fldCharType="separate"/>
      </w:r>
      <w:r w:rsidRPr="00171D4B">
        <w:t>Ibid 17.</w:t>
      </w:r>
      <w:r>
        <w:fldChar w:fldCharType="end"/>
      </w:r>
    </w:p>
  </w:footnote>
  <w:footnote w:id="31">
    <w:p w14:paraId="26F64209" w14:textId="21D5B5C8" w:rsidR="00AC5F77" w:rsidRDefault="00AC5F77">
      <w:pPr>
        <w:pStyle w:val="FootnoteText"/>
      </w:pPr>
      <w:r>
        <w:rPr>
          <w:rStyle w:val="FootnoteReference"/>
        </w:rPr>
        <w:footnoteRef/>
      </w:r>
      <w:r>
        <w:t xml:space="preserve"> </w:t>
      </w:r>
      <w:r>
        <w:fldChar w:fldCharType="begin"/>
      </w:r>
      <w:r w:rsidR="00171D4B">
        <w:instrText xml:space="preserve"> ADDIN ZOTERO_ITEM CSL_CITATION {"citationID":"ZbADGlLK","properties":{"formattedCitation":"Ministry of Information and Communication Infrastructure, \\uc0\\u8216{}The Gambia National Broadband Policy 2020-2024\\uc0\\u8217{}.","plainCitation":"Ministry of Information and Communication Infrastructure, ‘The Gambia National Broadband Policy 2020-2024’.","noteIndex":30},"citationItems":[{"id":3362,"uris":["http://zotero.org/groups/5638933/items/C4GFSFGK"],"itemData":{"id":3362,"type":"document","publisher":"The Republic of The Gambia","title":"The Gambia National Broadband Policy 2020-2024","author":[{"literal":"Ministry of Information and Communication Infrastructure"}],"issued":{"date-parts":[["2020"]]}}}],"schema":"https://github.com/citation-style-language/schema/raw/master/csl-citation.json"} </w:instrText>
      </w:r>
      <w:r>
        <w:fldChar w:fldCharType="separate"/>
      </w:r>
      <w:r w:rsidRPr="00AC5F77">
        <w:t>Ministry of Information and Communication Infrastructure, ‘The Gambia National Broadband Policy 2020-2024’.</w:t>
      </w:r>
      <w:r>
        <w:fldChar w:fldCharType="end"/>
      </w:r>
    </w:p>
  </w:footnote>
  <w:footnote w:id="32">
    <w:p w14:paraId="41F63229" w14:textId="2E008BE3" w:rsidR="009901DB" w:rsidRDefault="009901DB">
      <w:pPr>
        <w:pStyle w:val="FootnoteText"/>
      </w:pPr>
      <w:r>
        <w:rPr>
          <w:rStyle w:val="FootnoteReference"/>
        </w:rPr>
        <w:footnoteRef/>
      </w:r>
      <w:r>
        <w:t xml:space="preserve"> </w:t>
      </w:r>
      <w:r>
        <w:fldChar w:fldCharType="begin"/>
      </w:r>
      <w:r>
        <w:instrText xml:space="preserve"> ADDIN ZOTERO_ITEM CSL_CITATION {"citationID":"w9xPd2HV","properties":{"formattedCitation":"The Gambia Red Cross Society (n 15).","plainCitation":"The Gambia Red Cross Society (n 15).","noteIndex":31},"citationItems":[{"id":3305,"uris":["http://zotero.org/groups/5638933/items/8BN9TELR"],"itemData":{"id":3305,"type":"document","publisher":"IFRC","title":"International Disaster Response Law (IDRL) in The Gambia","URL":"https://disasterlaw.ifrc.org/media/2064","author":[{"literal":"The Gambia Red Cross Society"}],"accessed":{"date-parts":[["2024",9,14]]},"issued":{"date-parts":[["2016"]]}}}],"schema":"https://github.com/citation-style-language/schema/raw/master/csl-citation.json"} </w:instrText>
      </w:r>
      <w:r>
        <w:fldChar w:fldCharType="separate"/>
      </w:r>
      <w:r w:rsidRPr="009901DB">
        <w:t>The Gambia Red Cross Society (n 15).</w:t>
      </w:r>
      <w:r>
        <w:fldChar w:fldCharType="end"/>
      </w:r>
    </w:p>
  </w:footnote>
  <w:footnote w:id="33">
    <w:p w14:paraId="671DCCB1" w14:textId="203371CA" w:rsidR="003D7F1F" w:rsidRDefault="003D7F1F">
      <w:pPr>
        <w:pStyle w:val="FootnoteText"/>
      </w:pPr>
      <w:r>
        <w:rPr>
          <w:rStyle w:val="FootnoteReference"/>
        </w:rPr>
        <w:footnoteRef/>
      </w:r>
      <w:r>
        <w:t xml:space="preserve"> </w:t>
      </w:r>
      <w:r>
        <w:fldChar w:fldCharType="begin"/>
      </w:r>
      <w:r>
        <w:instrText xml:space="preserve"> ADDIN ZOTERO_ITEM CSL_CITATION {"citationID":"S8Zhzhyn","properties":{"formattedCitation":"The Government of the Republic of The Gambia, \\uc0\\u8216{}National Disaster Management Act\\uc0\\u8217{} (n 14) 18.","plainCitation":"The Government of the Republic of The Gambia, ‘National Disaster Management Act’ (n 14) 18.","noteIndex":32},"citationItems":[{"id":3312,"uris":["http://zotero.org/groups/5638933/items/SZVT2SNT"],"itemData":{"id":3312,"type":"document","title":"National Disaster Management Act","author":[{"literal":"The Government of the Republic of The Gambia"}],"issued":{"date-parts":[["2008"]]}},"locator":"18","label":"page"}],"schema":"https://github.com/citation-style-language/schema/raw/master/csl-citation.json"} </w:instrText>
      </w:r>
      <w:r>
        <w:fldChar w:fldCharType="separate"/>
      </w:r>
      <w:r w:rsidRPr="003D7F1F">
        <w:t>The Government of the Republic of The Gambia, ‘National Disaster Management Act’ (n 14) 18.</w:t>
      </w:r>
      <w:r>
        <w:fldChar w:fldCharType="end"/>
      </w:r>
    </w:p>
  </w:footnote>
  <w:footnote w:id="34">
    <w:p w14:paraId="402EEC25" w14:textId="1153F5F3" w:rsidR="000767FA" w:rsidRDefault="000767FA">
      <w:pPr>
        <w:pStyle w:val="FootnoteText"/>
      </w:pPr>
      <w:r>
        <w:rPr>
          <w:rStyle w:val="FootnoteReference"/>
        </w:rPr>
        <w:footnoteRef/>
      </w:r>
      <w:r>
        <w:t xml:space="preserve"> </w:t>
      </w:r>
      <w:r>
        <w:fldChar w:fldCharType="begin"/>
      </w:r>
      <w:r>
        <w:instrText xml:space="preserve"> ADDIN ZOTERO_ITEM CSL_CITATION {"citationID":"JK5dP1dT","properties":{"formattedCitation":"The Gambia Red Cross Society (n 15) 31.","plainCitation":"The Gambia Red Cross Society (n 15) 31.","noteIndex":33},"citationItems":[{"id":3305,"uris":["http://zotero.org/groups/5638933/items/8BN9TELR"],"itemData":{"id":3305,"type":"document","publisher":"IFRC","title":"International Disaster Response Law (IDRL) in The Gambia","URL":"https://disasterlaw.ifrc.org/media/2064","author":[{"literal":"The Gambia Red Cross Society"}],"accessed":{"date-parts":[["2024",9,14]]},"issued":{"date-parts":[["2016"]]}},"locator":"31","label":"page"}],"schema":"https://github.com/citation-style-language/schema/raw/master/csl-citation.json"} </w:instrText>
      </w:r>
      <w:r>
        <w:fldChar w:fldCharType="separate"/>
      </w:r>
      <w:r w:rsidRPr="000767FA">
        <w:t>The Gambia Red Cross Society (n 15) 31.</w:t>
      </w:r>
      <w:r>
        <w:fldChar w:fldCharType="end"/>
      </w:r>
    </w:p>
  </w:footnote>
  <w:footnote w:id="35">
    <w:p w14:paraId="2461B891" w14:textId="014A479A" w:rsidR="007C4033" w:rsidRDefault="007C4033">
      <w:pPr>
        <w:pStyle w:val="FootnoteText"/>
      </w:pPr>
      <w:r>
        <w:rPr>
          <w:rStyle w:val="FootnoteReference"/>
        </w:rPr>
        <w:footnoteRef/>
      </w:r>
      <w:r>
        <w:t xml:space="preserve"> </w:t>
      </w:r>
      <w:r>
        <w:fldChar w:fldCharType="begin"/>
      </w:r>
      <w:r>
        <w:instrText xml:space="preserve"> ADDIN ZOTERO_ITEM CSL_CITATION {"citationID":"skqAya0C","properties":{"formattedCitation":"Ibid.","plainCitation":"Ibid.","noteIndex":34},"citationItems":[{"id":3305,"uris":["http://zotero.org/groups/5638933/items/8BN9TELR"],"itemData":{"id":3305,"type":"document","publisher":"IFRC","title":"International Disaster Response Law (IDRL) in The Gambia","URL":"https://disasterlaw.ifrc.org/media/2064","author":[{"literal":"The Gambia Red Cross Society"}],"accessed":{"date-parts":[["2024",9,14]]},"issued":{"date-parts":[["2016"]]}},"locator":"31","label":"page"}],"schema":"https://github.com/citation-style-language/schema/raw/master/csl-citation.json"} </w:instrText>
      </w:r>
      <w:r>
        <w:fldChar w:fldCharType="separate"/>
      </w:r>
      <w:r w:rsidRPr="007C4033">
        <w:t>Ibid.</w:t>
      </w:r>
      <w:r>
        <w:fldChar w:fldCharType="end"/>
      </w:r>
    </w:p>
  </w:footnote>
  <w:footnote w:id="36">
    <w:p w14:paraId="6C49A577" w14:textId="7FEA02AF" w:rsidR="0095632C" w:rsidRDefault="0095632C">
      <w:pPr>
        <w:pStyle w:val="FootnoteText"/>
      </w:pPr>
      <w:r w:rsidRPr="0045782B">
        <w:rPr>
          <w:rStyle w:val="FootnoteReference"/>
        </w:rPr>
        <w:footnoteRef/>
      </w:r>
      <w:r>
        <w:t xml:space="preserve"> </w:t>
      </w:r>
      <w:r>
        <w:fldChar w:fldCharType="begin"/>
      </w:r>
      <w:r w:rsidR="004B5C9A">
        <w:instrText xml:space="preserve"> ADDIN ZOTERO_ITEM CSL_CITATION {"citationID":"R5a7lMcm","properties":{"formattedCitation":"The Government of The Gambia, \\uc0\\u8216{}Public Utility and Regulatory Authority\\uc0\\u8217{} (2004) &lt;https://gambia.gov.gm/public-utility-and-regulatory-authority/&gt;.","plainCitation":"The Government of The Gambia, ‘Public Utility and Regulatory Authority’ (2004) &lt;https://gambia.gov.gm/public-utility-and-regulatory-authority/&gt;.","noteIndex":35},"citationItems":[{"id":3357,"uris":["http://zotero.org/groups/5638933/items/F39BKVNC"],"itemData":{"id":3357,"type":"webpage","language":"en-US","title":"Public Utility and Regulatory Authority","URL":"https://gambia.gov.gm/public-utility-and-regulatory-authority/","author":[{"literal":"The Government of The Gambia"}],"accessed":{"date-parts":[["2024",10,23]]},"issued":{"date-parts":[["2004"]]}}}],"schema":"https://github.com/citation-style-language/schema/raw/master/csl-citation.json"} </w:instrText>
      </w:r>
      <w:r>
        <w:fldChar w:fldCharType="separate"/>
      </w:r>
      <w:r w:rsidRPr="0095632C">
        <w:t>The Government of The Gambia, ‘Public Utility and Regulatory Authority’ (2004) &lt;https://gambia.gov.gm/public-utility-and-regulatory-authority/&gt;.</w:t>
      </w:r>
      <w:r>
        <w:fldChar w:fldCharType="end"/>
      </w:r>
    </w:p>
  </w:footnote>
  <w:footnote w:id="37">
    <w:p w14:paraId="682372F6" w14:textId="1EA56520" w:rsidR="00F35FCB" w:rsidRDefault="00F35FCB">
      <w:pPr>
        <w:pStyle w:val="FootnoteText"/>
      </w:pPr>
      <w:r w:rsidRPr="0045782B">
        <w:rPr>
          <w:rStyle w:val="FootnoteReference"/>
        </w:rPr>
        <w:footnoteRef/>
      </w:r>
      <w:r>
        <w:t xml:space="preserve"> </w:t>
      </w:r>
      <w:r>
        <w:fldChar w:fldCharType="begin"/>
      </w:r>
      <w:r w:rsidR="004B5C9A">
        <w:instrText xml:space="preserve"> ADDIN ZOTERO_ITEM CSL_CITATION {"citationID":"Q2VsCI6i","properties":{"formattedCitation":"The Government of The Gambia, \\uc0\\u8216{}Information and Communications Act\\uc0\\u8217{}.","plainCitation":"The Government of The Gambia, ‘Information and Communications Act’.","noteIndex":36},"citationItems":[{"id":3358,"uris":["http://zotero.org/groups/5638933/items/CL5TLYDG"],"itemData":{"id":3358,"type":"document","title":"Information and Communications Act","author":[{"literal":"The Government of The Gambia"}],"issued":{"date-parts":[["2009"]]}}}],"schema":"https://github.com/citation-style-language/schema/raw/master/csl-citation.json"} </w:instrText>
      </w:r>
      <w:r>
        <w:fldChar w:fldCharType="separate"/>
      </w:r>
      <w:r w:rsidRPr="00F35FCB">
        <w:t>The Government of The Gambia, ‘Information and Communications Act’.</w:t>
      </w:r>
      <w:r>
        <w:fldChar w:fldCharType="end"/>
      </w:r>
    </w:p>
  </w:footnote>
  <w:footnote w:id="38">
    <w:p w14:paraId="55852DC3" w14:textId="27D5E03D" w:rsidR="00D97CE3" w:rsidRDefault="00D97CE3">
      <w:pPr>
        <w:pStyle w:val="FootnoteText"/>
      </w:pPr>
      <w:r w:rsidRPr="0045782B">
        <w:rPr>
          <w:rStyle w:val="FootnoteReference"/>
        </w:rPr>
        <w:footnoteRef/>
      </w:r>
      <w:r>
        <w:t xml:space="preserve"> </w:t>
      </w:r>
      <w:r>
        <w:fldChar w:fldCharType="begin"/>
      </w:r>
      <w:r w:rsidR="004B5C9A">
        <w:instrText xml:space="preserve"> ADDIN ZOTERO_ITEM CSL_CITATION {"citationID":"X4mkwYrX","properties":{"formattedCitation":"The Gambia Public Utilities Regulatory Authority, \\uc0\\u8216{}Annual Report and Financial Statements\\uc0\\u8217{}.","plainCitation":"The Gambia Public Utilities Regulatory Authority, ‘Annual Report and Financial Statements’.","noteIndex":37},"citationItems":[{"id":3321,"uris":["http://zotero.org/groups/5638933/items/33GVXLAE"],"itemData":{"id":3321,"type":"document","publisher":"Public Utilities Regulatory Authority","title":"Annual Report and Financial Statements","author":[{"literal":"The Gambia Public Utilities Regulatory Authority"}],"issued":{"date-parts":[["2021"]]}}}],"schema":"https://github.com/citation-style-language/schema/raw/master/csl-citation.json"} </w:instrText>
      </w:r>
      <w:r>
        <w:fldChar w:fldCharType="separate"/>
      </w:r>
      <w:r w:rsidRPr="00D97CE3">
        <w:t>The Gambia Public Utilities Regulatory Authority, ‘Annual Report and Financial Statements’.</w:t>
      </w:r>
      <w:r>
        <w:fldChar w:fldCharType="end"/>
      </w:r>
    </w:p>
  </w:footnote>
  <w:footnote w:id="39">
    <w:p w14:paraId="3AD2C717" w14:textId="6E6B0F8F" w:rsidR="00873314" w:rsidRDefault="00873314">
      <w:pPr>
        <w:pStyle w:val="FootnoteText"/>
      </w:pPr>
      <w:r w:rsidRPr="0045782B">
        <w:rPr>
          <w:rStyle w:val="FootnoteReference"/>
        </w:rPr>
        <w:footnoteRef/>
      </w:r>
      <w:r>
        <w:t xml:space="preserve"> </w:t>
      </w:r>
      <w:r>
        <w:fldChar w:fldCharType="begin"/>
      </w:r>
      <w:r w:rsidR="00F3166A">
        <w:instrText xml:space="preserve"> ADDIN ZOTERO_ITEM CSL_CITATION {"citationID":"MD6IeuXJ","properties":{"formattedCitation":"The Government of The Gambia, \\uc0\\u8216{}The Ministry \\uc0\\u8211{} Ministry of Commnications &amp; Digital Economy\\uc0\\u8217{} (2024) &lt;https://mocde.gov.gm/the-ministry/&gt;.","plainCitation":"The Government of The Gambia, ‘The Ministry – Ministry of Commnications &amp; Digital Economy’ (2024) &lt;https://mocde.gov.gm/the-ministry/&gt;.","noteIndex":38},"citationItems":[{"id":3361,"uris":["http://zotero.org/groups/5638933/items/YM2QVXUZ"],"itemData":{"id":3361,"type":"post-weblog","language":"en-US","title":"The Ministry – Ministry of Commnications &amp; Digital Economy","URL":"https://mocde.gov.gm/the-ministry/","author":[{"literal":"The Government of The Gambia"}],"accessed":{"date-parts":[["2024",10,25]]},"issued":{"date-parts":[["2024"]]}}}],"schema":"https://github.com/citation-style-language/schema/raw/master/csl-citation.json"} </w:instrText>
      </w:r>
      <w:r>
        <w:fldChar w:fldCharType="separate"/>
      </w:r>
      <w:r w:rsidRPr="00873314">
        <w:t>The Government of The Gambia, ‘The Ministry – Ministry of Commnications &amp; Digital Economy’ (2024) &lt;https://mocde.gov.gm/the-ministry/&gt;.</w:t>
      </w:r>
      <w:r>
        <w:fldChar w:fldCharType="end"/>
      </w:r>
    </w:p>
  </w:footnote>
  <w:footnote w:id="40">
    <w:p w14:paraId="6F108721" w14:textId="6066A83C" w:rsidR="00B26D78" w:rsidRDefault="00B26D78">
      <w:pPr>
        <w:pStyle w:val="FootnoteText"/>
      </w:pPr>
      <w:r w:rsidRPr="0045782B">
        <w:rPr>
          <w:rStyle w:val="FootnoteReference"/>
        </w:rPr>
        <w:footnoteRef/>
      </w:r>
      <w:r>
        <w:t xml:space="preserve"> </w:t>
      </w:r>
      <w:r>
        <w:fldChar w:fldCharType="begin"/>
      </w:r>
      <w:r w:rsidR="00F3166A">
        <w:instrText xml:space="preserve"> ADDIN ZOTERO_ITEM CSL_CITATION {"citationID":"46UGLu15","properties":{"formattedCitation":"The Government of The Gambia, \\uc0\\u8216{}Gambia ICT Agency\\uc0\\u8217{} (2024) &lt;https://gambia.gov.gm/gambia-ict-agency/&gt;.","plainCitation":"The Government of The Gambia, ‘Gambia ICT Agency’ (2024) &lt;https://gambia.gov.gm/gambia-ict-agency/&gt;.","noteIndex":39},"citationItems":[{"id":3360,"uris":["http://zotero.org/groups/5638933/items/RGRPDPSB"],"itemData":{"id":3360,"type":"post-weblog","language":"en-US","title":"Gambia ICT Agency","URL":"https://gambia.gov.gm/gambia-ict-agency/","author":[{"literal":"The Government of The Gambia"}],"accessed":{"date-parts":[["2024",10,25]]},"issued":{"date-parts":[["2024"]]}}}],"schema":"https://github.com/citation-style-language/schema/raw/master/csl-citation.json"} </w:instrText>
      </w:r>
      <w:r>
        <w:fldChar w:fldCharType="separate"/>
      </w:r>
      <w:r w:rsidR="00DD5E18" w:rsidRPr="00DD5E18">
        <w:t>The Government of The Gambia, ‘Gambia ICT Agency’ (2024) &lt;https://gambia.gov.gm/gambia-ict-agency/&gt;.</w:t>
      </w:r>
      <w:r>
        <w:fldChar w:fldCharType="end"/>
      </w:r>
    </w:p>
  </w:footnote>
  <w:footnote w:id="41">
    <w:p w14:paraId="5260FDE5" w14:textId="6DF2250A" w:rsidR="00463C27" w:rsidRDefault="00463C27">
      <w:pPr>
        <w:pStyle w:val="FootnoteText"/>
      </w:pPr>
      <w:r w:rsidRPr="0045782B">
        <w:rPr>
          <w:rStyle w:val="FootnoteReference"/>
        </w:rPr>
        <w:footnoteRef/>
      </w:r>
      <w:r>
        <w:t xml:space="preserve"> </w:t>
      </w:r>
      <w:r>
        <w:fldChar w:fldCharType="begin"/>
      </w:r>
      <w:r w:rsidR="00F3166A">
        <w:instrText xml:space="preserve"> ADDIN ZOTERO_ITEM CSL_CITATION {"citationID":"gaje2bf2","properties":{"formattedCitation":"Department of Fisheries and Water Resources, \\uc0\\u8216{}Divisions | Meteorology\\uc0\\u8217{} (2024) &lt;https://www.mofwr.gm/WR-units&gt;.","plainCitation":"Department of Fisheries and Water Resources, ‘Divisions | Meteorology’ (2024) &lt;https://www.mofwr.gm/WR-units&gt;.","noteIndex":40},"citationItems":[{"id":3355,"uris":["http://zotero.org/groups/5638933/items/UYK9C56X"],"itemData":{"id":3355,"type":"webpage","title":"Divisions | Meteorology","URL":"https://www.mofwr.gm/WR-units","author":[{"literal":"Department of Fisheries and Water Resources"}],"accessed":{"date-parts":[["2024",10,23]]},"issued":{"date-parts":[["2024"]]}}}],"schema":"https://github.com/citation-style-language/schema/raw/master/csl-citation.json"} </w:instrText>
      </w:r>
      <w:r>
        <w:fldChar w:fldCharType="separate"/>
      </w:r>
      <w:r w:rsidRPr="00463C27">
        <w:t>Department of Fisheries and Water Resources, ‘Divisions | Meteorology’ (2024) &lt;https://www.mofwr.gm/WR-units&gt;.</w:t>
      </w:r>
      <w:r>
        <w:fldChar w:fldCharType="end"/>
      </w:r>
    </w:p>
  </w:footnote>
  <w:footnote w:id="42">
    <w:p w14:paraId="23C6B375" w14:textId="3DE02D7C" w:rsidR="0084359F" w:rsidRPr="00DE1BD4" w:rsidRDefault="0084359F">
      <w:pPr>
        <w:pStyle w:val="FootnoteText"/>
      </w:pPr>
      <w:r w:rsidRPr="0045782B">
        <w:rPr>
          <w:rStyle w:val="FootnoteReference"/>
        </w:rPr>
        <w:footnoteRef/>
      </w:r>
      <w:r w:rsidRPr="00DE1BD4">
        <w:t xml:space="preserve"> </w:t>
      </w:r>
      <w:r w:rsidRPr="00DE1BD4">
        <w:fldChar w:fldCharType="begin"/>
      </w:r>
      <w:r w:rsidR="004B5C9A">
        <w:instrText xml:space="preserve"> ADDIN ZOTERO_ITEM CSL_CITATION {"citationID":"SIX3vB7w","properties":{"formattedCitation":"\\uc0\\u8216{}WMO Register of Alerting Authorities\\uc0\\u8217{} &lt;https://alertingauthority.wmo.int/&gt;.","plainCitation":"‘WMO Register of Alerting Authorities’ &lt;https://alertingauthority.wmo.int/&gt;.","noteIndex":41},"citationItems":[{"id":2908,"uris":["http://zotero.org/groups/5420386/items/46YLIWTS"],"itemData":{"id":2908,"type":"webpage","title":"WMO Register of Alerting Authorities","URL":"https://alertingauthority.wmo.int/","accessed":{"date-parts":[["2024",4,27]]}}}],"schema":"https://github.com/citation-style-language/schema/raw/master/csl-citation.json"} </w:instrText>
      </w:r>
      <w:r w:rsidRPr="00DE1BD4">
        <w:fldChar w:fldCharType="separate"/>
      </w:r>
      <w:r w:rsidRPr="00DE1BD4">
        <w:t>‘WMO Register of Alerting Authorities’ &lt;https://alertingauthority.wmo.int/&gt;.</w:t>
      </w:r>
      <w:r w:rsidRPr="00DE1BD4">
        <w:fldChar w:fldCharType="end"/>
      </w:r>
    </w:p>
  </w:footnote>
  <w:footnote w:id="43">
    <w:p w14:paraId="11EBA30A" w14:textId="7A1FA773" w:rsidR="00F567FD" w:rsidRPr="00DE1BD4" w:rsidRDefault="00F567FD" w:rsidP="00F567FD">
      <w:pPr>
        <w:pStyle w:val="FootnoteText"/>
        <w:jc w:val="left"/>
      </w:pPr>
      <w:r w:rsidRPr="0045782B">
        <w:rPr>
          <w:rStyle w:val="FootnoteReference"/>
        </w:rPr>
        <w:footnoteRef/>
      </w:r>
      <w:r w:rsidRPr="00DE1BD4">
        <w:t xml:space="preserve"> </w:t>
      </w:r>
      <w:r w:rsidRPr="00DE1BD4">
        <w:fldChar w:fldCharType="begin"/>
      </w:r>
      <w:r w:rsidR="00F3166A">
        <w:instrText xml:space="preserve"> ADDIN ZOTERO_ITEM CSL_CITATION {"citationID":"vkZ1gJ7i","properties":{"formattedCitation":"\\uc0\\u8216{}Clusters and Multistakeholder Partnerships | World Food Programme\\uc0\\u8217{} &lt;https://www.wfp.org/clusters-and-multistakeholder-partnerships&gt;.","plainCitation":"‘Clusters and Multistakeholder Partnerships | World Food Programme’ &lt;https://www.wfp.org/clusters-and-multistakeholder-partnerships&gt;.","noteIndex":42},"citationItems":[{"id":"doYUVaO3/JTp5JVYO","uris":["http://zotero.org/users/6777113/items/J7JJFW54"],"itemData":{"id":29,"type":"webpage","abstract":"Responding efficiently to emergencies, saving lives endangered by famine and ensuring we achieve Zero Hunger by 2030 require the coordinated work of several partners – be they humanitarian agencies, governments or private sector operators – each contributing their unique expertise and know-how. The","language":"en","title":"Clusters and multistakeholder partnerships | World Food Programme","URL":"https://www.wfp.org/clusters-and-multistakeholder-partnerships","accessed":{"date-parts":[["2021",12,15]]}}}],"schema":"https://github.com/citation-style-language/schema/raw/master/csl-citation.json"} </w:instrText>
      </w:r>
      <w:r w:rsidRPr="00DE1BD4">
        <w:fldChar w:fldCharType="separate"/>
      </w:r>
      <w:r w:rsidRPr="00DE1BD4">
        <w:rPr>
          <w:szCs w:val="24"/>
        </w:rPr>
        <w:t>‘Clusters and Multistakeholder Partnerships | World Food Programme’ &lt;https://www.wfp.org/clusters-and-multistakeholder-partnerships&gt;.</w:t>
      </w:r>
      <w:r w:rsidRPr="00DE1BD4">
        <w:fldChar w:fldCharType="end"/>
      </w:r>
    </w:p>
  </w:footnote>
  <w:footnote w:id="44">
    <w:p w14:paraId="673F47B5" w14:textId="55FE789A" w:rsidR="00141332" w:rsidRPr="00DE1BD4" w:rsidRDefault="00141332">
      <w:pPr>
        <w:pStyle w:val="FootnoteText"/>
      </w:pPr>
      <w:r w:rsidRPr="0045782B">
        <w:rPr>
          <w:rStyle w:val="FootnoteReference"/>
        </w:rPr>
        <w:footnoteRef/>
      </w:r>
      <w:r w:rsidRPr="00DE1BD4">
        <w:t xml:space="preserve"> </w:t>
      </w:r>
      <w:r w:rsidRPr="00DE1BD4">
        <w:fldChar w:fldCharType="begin"/>
      </w:r>
      <w:r w:rsidR="004B5C9A">
        <w:instrText xml:space="preserve"> ADDIN ZOTERO_ITEM CSL_CITATION {"citationID":"XtAbRM07","properties":{"formattedCitation":"\\uc0\\u8216{}About the ETC | Emergency Telecommunications Cluster (ETC)\\uc0\\u8217{} (15 December 2021) &lt;https://www.etcluster.org/about-etc&gt;.","plainCitation":"‘About the ETC | Emergency Telecommunications Cluster (ETC)’ (15 December 2021) &lt;https://www.etcluster.org/about-etc&gt;.","noteIndex":43},"citationItems":[{"id":1456,"uris":["http://zotero.org/groups/4544658/items/TUE2I89I"],"itemData":{"id":1456,"type":"webpage","abstract":"The Emergency Telecommunications Cluster (ETC) is a global network of organizations that work together to provide shared communications services in humanitarian emergencies. The ETC is one of the 11 clusters designated by the Inter-Agency Standing Committee (IASC).","language":"en","title":"About the ETC | Emergency Telecommunications Cluster (ETC)","URL":"https://www.etcluster.org/about-etc","accessed":{"date-parts":[["2021",12,15]]},"issued":{"date-parts":[["2021",12,15]]}}}],"schema":"https://github.com/citation-style-language/schema/raw/master/csl-citation.json"} </w:instrText>
      </w:r>
      <w:r w:rsidRPr="00DE1BD4">
        <w:fldChar w:fldCharType="separate"/>
      </w:r>
      <w:r w:rsidRPr="00DE1BD4">
        <w:t>‘About the ETC | Emergency Telecommunications Cluster (ETC)’ (15 December 2021) &lt;https://www.etcluster.org/about-etc&gt;.</w:t>
      </w:r>
      <w:r w:rsidRPr="00DE1BD4">
        <w:fldChar w:fldCharType="end"/>
      </w:r>
    </w:p>
  </w:footnote>
  <w:footnote w:id="45">
    <w:p w14:paraId="766003E4" w14:textId="1973A106" w:rsidR="00FA1990" w:rsidRDefault="00FA1990" w:rsidP="00FA1990">
      <w:pPr>
        <w:pStyle w:val="FootnoteText"/>
      </w:pPr>
      <w:r w:rsidRPr="0045782B">
        <w:rPr>
          <w:rStyle w:val="FootnoteReference"/>
        </w:rPr>
        <w:footnoteRef/>
      </w:r>
      <w:r>
        <w:t xml:space="preserve"> </w:t>
      </w:r>
      <w:r>
        <w:fldChar w:fldCharType="begin"/>
      </w:r>
      <w:r w:rsidR="004B5C9A">
        <w:instrText xml:space="preserve"> ADDIN ZOTERO_ITEM CSL_CITATION {"citationID":"WuSNcN6V","properties":{"formattedCitation":"The Government of The Gambia, {\\i{}Public Utility and Regulatory Authority} (n 35).","plainCitation":"The Government of The Gambia, Public Utility and Regulatory Authority (n 35).","noteIndex":44},"citationItems":[{"id":3357,"uris":["http://zotero.org/groups/5638933/items/F39BKVNC"],"itemData":{"id":3357,"type":"webpage","language":"en-US","title":"Public Utility and Regulatory Authority","URL":"https://gambia.gov.gm/public-utility-and-regulatory-authority/","author":[{"literal":"The Government of The Gambia"}],"accessed":{"date-parts":[["2024",10,23]]},"issued":{"date-parts":[["2004"]]}}}],"schema":"https://github.com/citation-style-language/schema/raw/master/csl-citation.json"} </w:instrText>
      </w:r>
      <w:r>
        <w:fldChar w:fldCharType="separate"/>
      </w:r>
      <w:r w:rsidR="004B5C9A" w:rsidRPr="004B5C9A">
        <w:t xml:space="preserve">The Government of The Gambia, </w:t>
      </w:r>
      <w:r w:rsidR="004B5C9A" w:rsidRPr="004B5C9A">
        <w:rPr>
          <w:i/>
          <w:iCs/>
        </w:rPr>
        <w:t>Public Utility and Regulatory Authority</w:t>
      </w:r>
      <w:r w:rsidR="004B5C9A" w:rsidRPr="004B5C9A">
        <w:t xml:space="preserve"> (n 35).</w:t>
      </w:r>
      <w:r>
        <w:fldChar w:fldCharType="end"/>
      </w:r>
    </w:p>
  </w:footnote>
  <w:footnote w:id="46">
    <w:p w14:paraId="466EF7D9" w14:textId="56022A22" w:rsidR="00F3166A" w:rsidRPr="00F3166A" w:rsidRDefault="00F3166A">
      <w:pPr>
        <w:pStyle w:val="FootnoteText"/>
        <w:rPr>
          <w:lang w:val="en-US"/>
        </w:rPr>
      </w:pPr>
      <w:r>
        <w:rPr>
          <w:rStyle w:val="FootnoteReference"/>
        </w:rPr>
        <w:footnoteRef/>
      </w:r>
      <w:r>
        <w:t xml:space="preserve"> </w:t>
      </w:r>
      <w:r>
        <w:fldChar w:fldCharType="begin"/>
      </w:r>
      <w:r>
        <w:instrText xml:space="preserve"> ADDIN ZOTERO_ITEM CSL_CITATION {"citationID":"rOEkoLHH","properties":{"formattedCitation":"The Government of The Gambia, \\uc0\\u8216{}Information and Communications Act\\uc0\\u8217{} (n 36) 36.","plainCitation":"The Government of The Gambia, ‘Information and Communications Act’ (n 36) 36.","noteIndex":45},"citationItems":[{"id":3358,"uris":["http://zotero.org/groups/5638933/items/CL5TLYDG"],"itemData":{"id":3358,"type":"document","title":"Information and Communications Act","author":[{"literal":"The Government of The Gambia"}],"issued":{"date-parts":[["2009"]]}},"locator":"36","label":"page"}],"schema":"https://github.com/citation-style-language/schema/raw/master/csl-citation.json"} </w:instrText>
      </w:r>
      <w:r>
        <w:fldChar w:fldCharType="separate"/>
      </w:r>
      <w:r w:rsidRPr="00F3166A">
        <w:t>The Government of The Gambia, ‘Information and Communications Act’ (n 36) 36.</w:t>
      </w:r>
      <w:r>
        <w:fldChar w:fldCharType="end"/>
      </w:r>
    </w:p>
  </w:footnote>
  <w:footnote w:id="47">
    <w:p w14:paraId="024FF5EE" w14:textId="2BA50F60" w:rsidR="004B405C" w:rsidRDefault="004B405C">
      <w:pPr>
        <w:pStyle w:val="FootnoteText"/>
      </w:pPr>
      <w:r w:rsidRPr="0045782B">
        <w:rPr>
          <w:rStyle w:val="FootnoteReference"/>
        </w:rPr>
        <w:footnoteRef/>
      </w:r>
      <w:r>
        <w:t xml:space="preserve"> </w:t>
      </w:r>
      <w:r>
        <w:fldChar w:fldCharType="begin"/>
      </w:r>
      <w:r w:rsidR="00F3166A">
        <w:instrText xml:space="preserve"> ADDIN ZOTERO_ITEM CSL_CITATION {"citationID":"OyCtVEcq","properties":{"formattedCitation":"The Government of The Gambia, \\uc0\\u8216{}Information and Communications Act\\uc0\\u8217{} (n 36).","plainCitation":"The Government of The Gambia, ‘Information and Communications Act’ (n 36).","noteIndex":46},"citationItems":[{"id":3358,"uris":["http://zotero.org/groups/5638933/items/CL5TLYDG"],"itemData":{"id":3358,"type":"document","title":"Information and Communications Act","author":[{"literal":"The Government of The Gambia"}],"issued":{"date-parts":[["2009"]]}}}],"schema":"https://github.com/citation-style-language/schema/raw/master/csl-citation.json"} </w:instrText>
      </w:r>
      <w:r>
        <w:fldChar w:fldCharType="separate"/>
      </w:r>
      <w:r w:rsidR="004B5C9A" w:rsidRPr="004B5C9A">
        <w:t>The Government of The Gambia, ‘Information and Communications Act’ (n 36).</w:t>
      </w:r>
      <w:r>
        <w:fldChar w:fldCharType="end"/>
      </w:r>
    </w:p>
  </w:footnote>
  <w:footnote w:id="48">
    <w:p w14:paraId="5ECE84D2" w14:textId="17170526" w:rsidR="002921CC" w:rsidRPr="002921CC" w:rsidRDefault="002921CC">
      <w:pPr>
        <w:pStyle w:val="FootnoteText"/>
        <w:rPr>
          <w:lang w:val="en-US"/>
        </w:rPr>
      </w:pPr>
      <w:r>
        <w:rPr>
          <w:rStyle w:val="FootnoteReference"/>
        </w:rPr>
        <w:footnoteRef/>
      </w:r>
      <w:r>
        <w:t xml:space="preserve"> </w:t>
      </w:r>
      <w:r>
        <w:fldChar w:fldCharType="begin"/>
      </w:r>
      <w:r>
        <w:instrText xml:space="preserve"> ADDIN ZOTERO_ITEM CSL_CITATION {"citationID":"Y9vhbw8f","properties":{"formattedCitation":"Ibid 108.","plainCitation":"Ibid 108.","noteIndex":47},"citationItems":[{"id":3358,"uris":["http://zotero.org/groups/5638933/items/CL5TLYDG"],"itemData":{"id":3358,"type":"document","title":"Information and Communications Act","author":[{"literal":"The Government of The Gambia"}],"issued":{"date-parts":[["2009"]]}},"locator":"108","label":"page"}],"schema":"https://github.com/citation-style-language/schema/raw/master/csl-citation.json"} </w:instrText>
      </w:r>
      <w:r>
        <w:fldChar w:fldCharType="separate"/>
      </w:r>
      <w:r w:rsidRPr="002921CC">
        <w:t>Ibid 108.</w:t>
      </w:r>
      <w:r>
        <w:fldChar w:fldCharType="end"/>
      </w:r>
    </w:p>
  </w:footnote>
  <w:footnote w:id="49">
    <w:p w14:paraId="2516CAEF" w14:textId="290F13F3" w:rsidR="00040AA7" w:rsidRPr="00040AA7" w:rsidRDefault="00040AA7">
      <w:pPr>
        <w:pStyle w:val="FootnoteText"/>
        <w:rPr>
          <w:lang w:val="en-US"/>
        </w:rPr>
      </w:pPr>
      <w:r>
        <w:rPr>
          <w:rStyle w:val="FootnoteReference"/>
        </w:rPr>
        <w:footnoteRef/>
      </w:r>
      <w:r>
        <w:t xml:space="preserve"> </w:t>
      </w:r>
      <w:r>
        <w:fldChar w:fldCharType="begin"/>
      </w:r>
      <w:r>
        <w:instrText xml:space="preserve"> ADDIN ZOTERO_ITEM CSL_CITATION {"citationID":"6h4pCqdv","properties":{"formattedCitation":"The Gambia Public Utilities Regulatory Authority, \\uc0\\u8216{}Guidelines for Short Code Applications\\uc0\\u8217{} 7.","plainCitation":"The Gambia Public Utilities Regulatory Authority, ‘Guidelines for Short Code Applications’ 7.","noteIndex":48},"citationItems":[{"id":3365,"uris":["http://zotero.org/groups/5638933/items/DN5XGG3K"],"itemData":{"id":3365,"type":"document","title":"Guidelines for Short Code Applications","author":[{"literal":"The Gambia Public Utilities Regulatory Authority"}],"issued":{"date-parts":[["2015"]]}},"locator":"7","label":"section"}],"schema":"https://github.com/citation-style-language/schema/raw/master/csl-citation.json"} </w:instrText>
      </w:r>
      <w:r>
        <w:fldChar w:fldCharType="separate"/>
      </w:r>
      <w:r w:rsidRPr="00040AA7">
        <w:t>The Gambia Public Utilities Regulatory Authority, ‘Guidelines for Short Code Applications’ 7.</w:t>
      </w:r>
      <w:r>
        <w:fldChar w:fldCharType="end"/>
      </w:r>
    </w:p>
  </w:footnote>
  <w:footnote w:id="50">
    <w:p w14:paraId="44EA4722" w14:textId="7E27C65D" w:rsidR="00D71D0A" w:rsidRDefault="00D71D0A">
      <w:pPr>
        <w:pStyle w:val="FootnoteText"/>
      </w:pPr>
      <w:r w:rsidRPr="0045782B">
        <w:rPr>
          <w:rStyle w:val="FootnoteReference"/>
        </w:rPr>
        <w:footnoteRef/>
      </w:r>
      <w:r>
        <w:t xml:space="preserve"> </w:t>
      </w:r>
      <w:r>
        <w:fldChar w:fldCharType="begin"/>
      </w:r>
      <w:r w:rsidR="00A95B7C">
        <w:instrText xml:space="preserve"> ADDIN ZOTERO_ITEM CSL_CITATION {"citationID":"nJefN8ig","properties":{"formattedCitation":"CRED, \\uc0\\u8216{}EM-DAT - The International Disaster Database\\uc0\\u8217{} (2024) &lt;https://www.emdat.be/&gt;.","plainCitation":"CRED, ‘EM-DAT - The International Disaster Database’ (2024) &lt;https://www.emdat.be/&gt;.","noteIndex":49},"citationItems":[{"id":3225,"uris":["http://zotero.org/groups/5420386/items/PULIZFKQ"],"itemData":{"id":3225,"type":"webpage","abstract":"EM-DAT is a global database with information on over 26,000 mass disasters from 1900 to present day.  It's compiled from various sources, including UN agencies, NGOs, and press agencies.  The data is open access for non-commercial use and distributed by the Centre for Research on the Epidemiology of Disasters (CRED).","language":"en","title":"EM-DAT - The international disaster database","URL":"https://www.emdat.be/","author":[{"literal":"CRED"}],"accessed":{"date-parts":[["2024",8,12]]},"issued":{"date-parts":[["2024"]]}}}],"schema":"https://github.com/citation-style-language/schema/raw/master/csl-citation.json"} </w:instrText>
      </w:r>
      <w:r>
        <w:fldChar w:fldCharType="separate"/>
      </w:r>
      <w:r w:rsidRPr="00D71D0A">
        <w:t>CRED, ‘EM-DAT - The International Disaster Database’ (2024) &lt;https://www.emdat.be/&gt;.</w:t>
      </w:r>
      <w:r>
        <w:fldChar w:fldCharType="end"/>
      </w:r>
    </w:p>
  </w:footnote>
  <w:footnote w:id="51">
    <w:p w14:paraId="6B595642" w14:textId="114D72F8" w:rsidR="00425732" w:rsidRDefault="00425732">
      <w:pPr>
        <w:pStyle w:val="FootnoteText"/>
      </w:pPr>
      <w:r w:rsidRPr="0045782B">
        <w:rPr>
          <w:rStyle w:val="FootnoteReference"/>
        </w:rPr>
        <w:footnoteRef/>
      </w:r>
      <w:r>
        <w:t xml:space="preserve"> </w:t>
      </w:r>
      <w:r>
        <w:fldChar w:fldCharType="begin"/>
      </w:r>
      <w:r w:rsidR="00040AA7">
        <w:instrText xml:space="preserve"> ADDIN ZOTERO_ITEM CSL_CITATION {"citationID":"PnTJU7kE","properties":{"formattedCitation":"International Centre on Environmental Monitoring, \\uc0\\u8216{}Gambia Risk Profile - Floods &amp; Droughts\\uc0\\u8217{}, {\\i{}GeoNode} (2019) &lt;http://riskprofilesundrr.org/documents/1519&gt; (\\uc0\\u8216{}{\\i{}GMB}\\uc0\\u8217{}).","plainCitation":"International Centre on Environmental Monitoring, ‘Gambia Risk Profile - Floods &amp; Droughts’, GeoNode (2019) &lt;http://riskprofilesundrr.org/documents/1519&gt; (‘GMB’).","noteIndex":50},"citationItems":[{"id":3348,"uris":["http://zotero.org/groups/5638933/items/IM7M9DFY"],"itemData":{"id":3348,"type":"webpage","abstract":"Document on GeoNode by CIMA Admin","container-title":"GeoNode","language":"en","title":"Gambia Risk Profile - Floods &amp; Droughts","title-short":"GMB","URL":"http://riskprofilesundrr.org/documents/1519","author":[{"literal":"International Centre on Environmental Monitoring"}],"accessed":{"date-parts":[["2024",10,22]]},"issued":{"date-parts":[["2019"]]}}}],"schema":"https://github.com/citation-style-language/schema/raw/master/csl-citation.json"} </w:instrText>
      </w:r>
      <w:r>
        <w:fldChar w:fldCharType="separate"/>
      </w:r>
      <w:r w:rsidRPr="00425732">
        <w:t xml:space="preserve">International Centre on Environmental Monitoring, ‘Gambia Risk Profile - Floods &amp; Droughts’, </w:t>
      </w:r>
      <w:r w:rsidRPr="00425732">
        <w:rPr>
          <w:i/>
          <w:iCs/>
        </w:rPr>
        <w:t>GeoNode</w:t>
      </w:r>
      <w:r w:rsidRPr="00425732">
        <w:t xml:space="preserve"> (2019) &lt;http://riskprofilesundrr.org/documents/1519&gt; (‘</w:t>
      </w:r>
      <w:r w:rsidRPr="00425732">
        <w:rPr>
          <w:i/>
          <w:iCs/>
        </w:rPr>
        <w:t>GMB</w:t>
      </w:r>
      <w:r w:rsidRPr="00425732">
        <w:t>’).</w:t>
      </w:r>
      <w:r>
        <w:fldChar w:fldCharType="end"/>
      </w:r>
    </w:p>
  </w:footnote>
  <w:footnote w:id="52">
    <w:p w14:paraId="74658CD3" w14:textId="401AAB44" w:rsidR="00003CC3" w:rsidRDefault="00003CC3">
      <w:pPr>
        <w:pStyle w:val="FootnoteText"/>
      </w:pPr>
      <w:r w:rsidRPr="0045782B">
        <w:rPr>
          <w:rStyle w:val="FootnoteReference"/>
        </w:rPr>
        <w:footnoteRef/>
      </w:r>
      <w:r>
        <w:t xml:space="preserve"> </w:t>
      </w:r>
      <w:r>
        <w:fldChar w:fldCharType="begin"/>
      </w:r>
      <w:r w:rsidR="00040AA7">
        <w:instrText xml:space="preserve"> ADDIN ZOTERO_ITEM CSL_CITATION {"citationID":"f1VB3tb9","properties":{"formattedCitation":"Ibid.","plainCitation":"Ibid.","noteIndex":51},"citationItems":[{"id":3348,"uris":["http://zotero.org/groups/5638933/items/IM7M9DFY"],"itemData":{"id":3348,"type":"webpage","abstract":"Document on GeoNode by CIMA Admin","container-title":"GeoNode","language":"en","title":"Gambia Risk Profile - Floods &amp; Droughts","title-short":"GMB","URL":"http://riskprofilesundrr.org/documents/1519","author":[{"literal":"International Centre on Environmental Monitoring"}],"accessed":{"date-parts":[["2024",10,22]]},"issued":{"date-parts":[["2019"]]}}}],"schema":"https://github.com/citation-style-language/schema/raw/master/csl-citation.json"} </w:instrText>
      </w:r>
      <w:r>
        <w:fldChar w:fldCharType="separate"/>
      </w:r>
      <w:r w:rsidRPr="00003CC3">
        <w:t>Ibid.</w:t>
      </w:r>
      <w:r>
        <w:fldChar w:fldCharType="end"/>
      </w:r>
    </w:p>
  </w:footnote>
  <w:footnote w:id="53">
    <w:p w14:paraId="39CDA335" w14:textId="678F71D7" w:rsidR="002E2264" w:rsidRDefault="002E2264">
      <w:pPr>
        <w:pStyle w:val="FootnoteText"/>
      </w:pPr>
      <w:r w:rsidRPr="0045782B">
        <w:rPr>
          <w:rStyle w:val="FootnoteReference"/>
        </w:rPr>
        <w:footnoteRef/>
      </w:r>
      <w:r>
        <w:t xml:space="preserve"> </w:t>
      </w:r>
      <w:r>
        <w:fldChar w:fldCharType="begin"/>
      </w:r>
      <w:r w:rsidR="00A95B7C">
        <w:instrText xml:space="preserve"> ADDIN ZOTERO_ITEM CSL_CITATION {"citationID":"F4b1ax8d","properties":{"formattedCitation":"\\uc0\\u8216{}Think Hazard\\uc0\\u8217{} &lt;https://thinkhazard.org/en/&gt;.","plainCitation":"‘Think Hazard’ &lt;https://thinkhazard.org/en/&gt;.","noteIndex":52},"citationItems":[{"id":2982,"uris":["http://zotero.org/groups/5420386/items/P52RW3G5"],"itemData":{"id":2982,"type":"webpage","title":"Think Hazard","URL":"https://thinkhazard.org/en/","accessed":{"date-parts":[["2024",6,3]]}}}],"schema":"https://github.com/citation-style-language/schema/raw/master/csl-citation.json"} </w:instrText>
      </w:r>
      <w:r>
        <w:fldChar w:fldCharType="separate"/>
      </w:r>
      <w:r w:rsidRPr="002E2264">
        <w:t>‘Think Hazard’ &lt;https://thinkhazard.org/en/&gt;.</w:t>
      </w:r>
      <w:r>
        <w:fldChar w:fldCharType="end"/>
      </w:r>
    </w:p>
  </w:footnote>
  <w:footnote w:id="54">
    <w:p w14:paraId="2B74FB51" w14:textId="5B1CCD6D" w:rsidR="00C71B90" w:rsidRDefault="00C71B90">
      <w:pPr>
        <w:pStyle w:val="FootnoteText"/>
      </w:pPr>
      <w:r w:rsidRPr="0045782B">
        <w:rPr>
          <w:rStyle w:val="FootnoteReference"/>
        </w:rPr>
        <w:footnoteRef/>
      </w:r>
      <w:r>
        <w:t xml:space="preserve"> </w:t>
      </w:r>
      <w:r>
        <w:fldChar w:fldCharType="begin"/>
      </w:r>
      <w:r w:rsidR="00A95B7C">
        <w:instrText xml:space="preserve"> ADDIN ZOTERO_ITEM CSL_CITATION {"citationID":"bUWobN8D","properties":{"formattedCitation":"Think Hazard, \\uc0\\u8216{}Think Hazard - The Gambia - River Flood\\uc0\\u8217{} (2024) &lt;https://thinkhazard.org/en/report/90-the-gambia/FL&gt;.","plainCitation":"Think Hazard, ‘Think Hazard - The Gambia - River Flood’ (2024) &lt;https://thinkhazard.org/en/report/90-the-gambia/FL&gt;.","noteIndex":53},"citationItems":[{"id":3349,"uris":["http://zotero.org/groups/5638933/items/4VRZ6CW3"],"itemData":{"id":3349,"type":"webpage","title":"Think Hazard - The Gambia - River flood","URL":"https://thinkhazard.org/en/report/90-the-gambia/FL","author":[{"literal":"Think Hazard"}],"accessed":{"date-parts":[["2024",10,22]]},"issued":{"date-parts":[["2024"]]}}}],"schema":"https://github.com/citation-style-language/schema/raw/master/csl-citation.json"} </w:instrText>
      </w:r>
      <w:r>
        <w:fldChar w:fldCharType="separate"/>
      </w:r>
      <w:r w:rsidR="009276F5" w:rsidRPr="009276F5">
        <w:t>Think Hazard, ‘Think Hazard - The Gambia - River Flood’ (2024) &lt;https://thinkhazard.org/en/report/90-the-gambia/FL&gt;.</w:t>
      </w:r>
      <w:r>
        <w:fldChar w:fldCharType="end"/>
      </w:r>
    </w:p>
  </w:footnote>
  <w:footnote w:id="55">
    <w:p w14:paraId="572FCC62" w14:textId="19A71131" w:rsidR="00F90E8A" w:rsidRDefault="00F90E8A">
      <w:pPr>
        <w:pStyle w:val="FootnoteText"/>
      </w:pPr>
      <w:r w:rsidRPr="0045782B">
        <w:rPr>
          <w:rStyle w:val="FootnoteReference"/>
        </w:rPr>
        <w:footnoteRef/>
      </w:r>
      <w:r>
        <w:t xml:space="preserve"> </w:t>
      </w:r>
      <w:r>
        <w:fldChar w:fldCharType="begin"/>
      </w:r>
      <w:r w:rsidR="00A95B7C">
        <w:instrText xml:space="preserve"> ADDIN ZOTERO_ITEM CSL_CITATION {"citationID":"skmGnPia","properties":{"formattedCitation":"Think Hazard, \\uc0\\u8216{}Think Hazard - The Gambia - Extreme Heat\\uc0\\u8217{} (2024).","plainCitation":"Think Hazard, ‘Think Hazard - The Gambia - Extreme Heat’ (2024).","noteIndex":54},"citationItems":[{"id":3350,"uris":["http://zotero.org/groups/5638933/items/XVF7GH8U"],"itemData":{"id":3350,"type":"webpage","title":"Think Hazard - The Gambia - Extreme Heat","author":[{"literal":"Think Hazard"}],"issued":{"date-parts":[["2024"]]}}}],"schema":"https://github.com/citation-style-language/schema/raw/master/csl-citation.json"} </w:instrText>
      </w:r>
      <w:r>
        <w:fldChar w:fldCharType="separate"/>
      </w:r>
      <w:r w:rsidRPr="00F90E8A">
        <w:t>Think Hazard, ‘Think Hazard - The Gambia - Extreme Heat’ (2024).</w:t>
      </w:r>
      <w:r>
        <w:fldChar w:fldCharType="end"/>
      </w:r>
    </w:p>
  </w:footnote>
  <w:footnote w:id="56">
    <w:p w14:paraId="1533968D" w14:textId="169E2D78" w:rsidR="00B04FEC" w:rsidRPr="00DE1BD4" w:rsidRDefault="00B04FEC">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{"citationID":"pa9V6xnY","properties":{"formattedCitation":"\\uc0\\u8216{}Early Warnings for All (EW4All) | UNDRR\\uc0\\u8217{} (1 December 2022) &lt;http://www.undrr.org/implementing-sendai-framework/sendai-framework-action/early-warnings-for-all&gt;.","plainCitation":"‘Early Warnings for All (EW4All) | UNDRR’ (1 December 2022) &lt;http://www.undrr.org/implementing-sendai-framework/sendai-framework-action/early-warnings-for-all&gt;.","noteIndex":55},"citationItems":[{"id":2986,"uris":["http://zotero.org/groups/5420386/items/VZMFLP9G"],"itemData":{"id":2986,"type":"webpage","abstract":"The UN Secretary-General has called for every person on Earth to be protected by early warning systems within five years by 2027","language":"en","title":"Early warnings for all (EW4All) | UNDRR","URL":"http://www.undrr.org/implementing-sendai-framework/sendai-framework-action/early-warnings-for-all","accessed":{"date-parts":[["2024",6,3]]},"issued":{"date-parts":[["2022",12,1]]}}}],"schema":"https://github.com/citation-style-language/schema/raw/master/csl-citation.json"} </w:instrText>
      </w:r>
      <w:r w:rsidRPr="00DE1BD4">
        <w:fldChar w:fldCharType="separate"/>
      </w:r>
      <w:r w:rsidRPr="00DE1BD4">
        <w:t>‘Early Warnings for All (EW4All) | UNDRR’ (1 December 2022) &lt;http://www.undrr.org/implementing-sendai-framework/sendai-framework-action/early-warnings-for-all&gt;.</w:t>
      </w:r>
      <w:r w:rsidRPr="00DE1BD4">
        <w:fldChar w:fldCharType="end"/>
      </w:r>
    </w:p>
  </w:footnote>
  <w:footnote w:id="57">
    <w:p w14:paraId="514E2C6A" w14:textId="27025614" w:rsidR="000768A7" w:rsidRPr="00DE1BD4" w:rsidRDefault="000768A7" w:rsidP="000768A7">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{"citationID":"fmw4oRFM","properties":{"formattedCitation":"Stephane Hallegatte, Jun Rentschler and Julie Rozenberg, {\\i{}Lifelines: The Resilient Infrastructure Opportunity} (World Bank, 2019) &lt;https://openknowledge.worldbank.org/handle/10986/31805&gt; (\\uc0\\u8216{}{\\i{}Lifelines}\\uc0\\u8217{}).","plainCitation":"Stephane Hallegatte, Jun Rentschler and Julie Rozenberg, Lifelines: The Resilient Infrastructure Opportunity (World Bank, 2019) &lt;https://openknowledge.worldbank.org/handle/10986/31805&gt; (‘Lifelines’).","noteIndex":56},"citationItems":[{"id":1151,"uris":["http://zotero.org/groups/4544658/items/E2NCKIS5"],"itemData":{"id":1151,"type":"book","abstract":"From serving our most basic needs to enabling our most ambitious ventures in trade and technology, infrastructure services are essential for raising and maintaining people’s quality of life. Yet millions of people, especially in low- and middle-income countries, are facing the consequences of unreliable electricity grids, inadequate water and sanitation systems, and overstrained transport networks. Natural hazards magnify the challenges faced by these fragile systems. Building on a wide range of case studies, global empirical analyses, and modeling exercises, Lifelines lays out a framework for understanding infrastructure resilience—the ability of infrastructure systems to function and meet users’ needs during and after a natural shock—and it makes an economic case for building more resilient infrastructure. Lifelines concludes by identifying five obstacles to resilient infrastructure and offering concrete recommendations and specific actions that can be taken by governments, stakeholders, and the international community to improve the quality and resilience of these essential services, and thereby contribute to more resilient and prosperous societies.","event-place":"Washington, DC","ISBN":"978-1-4648-1430-3","language":"English","license":"http://creativecommons.org/licenses/by/3.0/igo","note":"Accepted: 2019-06-06T19:59:09Z\nDOI: 10.1596/978-1-4648-1430-3","publisher":"World Bank","publisher-place":"Washington, DC","source":"openknowledge.worldbank.org","title":"Lifelines: The Resilient Infrastructure Opportunity","title-short":"Lifelines","URL":"https://openknowledge.worldbank.org/handle/10986/31805","author":[{"family":"Hallegatte","given":"Stephane"},{"family":"Rentschler","given":"Jun"},{"family":"Rozenberg","given":"Julie"}],"accessed":{"date-parts":[["2022",9,1]]},"issued":{"date-parts":[["2019",6,19]]}}}],"schema":"https://github.com/citation-style-language/schema/raw/master/csl-citation.json"} </w:instrText>
      </w:r>
      <w:r w:rsidRPr="00DE1BD4">
        <w:fldChar w:fldCharType="separate"/>
      </w:r>
      <w:r w:rsidRPr="00DE1BD4">
        <w:rPr>
          <w:szCs w:val="24"/>
        </w:rPr>
        <w:t xml:space="preserve">Stephane Hallegatte, Jun Rentschler and Julie Rozenberg, </w:t>
      </w:r>
      <w:r w:rsidRPr="00DE1BD4">
        <w:rPr>
          <w:i/>
          <w:iCs/>
          <w:szCs w:val="24"/>
        </w:rPr>
        <w:t>Lifelines: The Resilient Infrastructure Opportunity</w:t>
      </w:r>
      <w:r w:rsidRPr="00DE1BD4">
        <w:rPr>
          <w:szCs w:val="24"/>
        </w:rPr>
        <w:t xml:space="preserve"> (World Bank, 2019) &lt;https://openknowledge.worldbank.org/handle/10986/31805&gt; (‘</w:t>
      </w:r>
      <w:r w:rsidRPr="00DE1BD4">
        <w:rPr>
          <w:i/>
          <w:iCs/>
          <w:szCs w:val="24"/>
        </w:rPr>
        <w:t>Lifelines</w:t>
      </w:r>
      <w:r w:rsidRPr="00DE1BD4">
        <w:rPr>
          <w:szCs w:val="24"/>
        </w:rPr>
        <w:t>’).</w:t>
      </w:r>
      <w:r w:rsidRPr="00DE1BD4">
        <w:fldChar w:fldCharType="end"/>
      </w:r>
    </w:p>
  </w:footnote>
  <w:footnote w:id="58">
    <w:p w14:paraId="3F0AAFA8" w14:textId="75E697AA" w:rsidR="000768A7" w:rsidRPr="00DE1BD4" w:rsidRDefault="000768A7" w:rsidP="000768A7">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{"citationID":"mPb9Hsb6","properties":{"formattedCitation":"Alan Mauldin, \\uc0\\u8216{}Cable Breakage: When and How Cables Go Down\\uc0\\u8217{} &lt;https://blog.telegeography.com/what-happens-when-submarine-cables-break&gt; (\\uc0\\u8216{}{\\i{}Cable Breakage}\\uc0\\u8217{}).","plainCitation":"Alan Mauldin, ‘Cable Breakage: When and How Cables Go Down’ &lt;https://blog.telegeography.com/what-happens-when-submarine-cables-break&gt; (‘Cable Breakage’).","noteIndex":57},"citationItems":[{"id":1066,"uris":["http://zotero.org/groups/4544658/items/6BZYNSMX"],"itemData":{"id":1066,"type":"webpage","abstract":"We're going back under the sea to talk about what happens when bad things happen to good submarine cables.","language":"en-us","title":"Cable Breakage: When and How Cables Go Down","title-short":"Cable Breakage","URL":"https://blog.telegeography.com/what-happens-when-submarine-cables-break","author":[{"family":"Mauldin","given":"Alan"}],"accessed":{"date-parts":[["2022",9,28]]}}}],"schema":"https://github.com/citation-style-language/schema/raw/master/csl-citation.json"} </w:instrText>
      </w:r>
      <w:r w:rsidRPr="00DE1BD4">
        <w:fldChar w:fldCharType="separate"/>
      </w:r>
      <w:r w:rsidRPr="00DE1BD4">
        <w:rPr>
          <w:szCs w:val="24"/>
        </w:rPr>
        <w:t>Alan Mauldin, ‘Cable Breakage: When and How Cables Go Down’ &lt;https://blog.telegeography.com/what-happens-when-submarine-cables-break&gt; (‘</w:t>
      </w:r>
      <w:r w:rsidRPr="00DE1BD4">
        <w:rPr>
          <w:i/>
          <w:iCs/>
          <w:szCs w:val="24"/>
        </w:rPr>
        <w:t>Cable Breakage</w:t>
      </w:r>
      <w:r w:rsidRPr="00DE1BD4">
        <w:rPr>
          <w:szCs w:val="24"/>
        </w:rPr>
        <w:t>’).</w:t>
      </w:r>
      <w:r w:rsidRPr="00DE1BD4">
        <w:fldChar w:fldCharType="end"/>
      </w:r>
    </w:p>
  </w:footnote>
  <w:footnote w:id="59">
    <w:p w14:paraId="530E6C09" w14:textId="25F39570" w:rsidR="00B37761" w:rsidRDefault="00B37761">
      <w:pPr>
        <w:pStyle w:val="FootnoteText"/>
      </w:pPr>
      <w:r w:rsidRPr="0045782B">
        <w:rPr>
          <w:rStyle w:val="FootnoteReference"/>
        </w:rPr>
        <w:footnoteRef/>
      </w:r>
      <w:r>
        <w:t xml:space="preserve"> </w:t>
      </w:r>
      <w:r>
        <w:fldChar w:fldCharType="begin"/>
      </w:r>
      <w:r w:rsidR="00040AA7">
        <w:instrText xml:space="preserve"> ADDIN ZOTERO_ITEM CSL_CITATION {"citationID":"yfnoLKyz","properties":{"formattedCitation":"Scharon Harding, \\uc0\\u8216{}Cut Submarine Cables Cause Web Outages across Africa; 6 Countries Still Affected\\uc0\\u8217{}, {\\i{}Ars Technica} (15 March 2024) &lt;https://arstechnica.com/information-technology/2024/03/internet-outages-hit-13-countries-in-africa-due-to-undersea-cable-damage/&gt;.","plainCitation":"Scharon Harding, ‘Cut Submarine Cables Cause Web Outages across Africa; 6 Countries Still Affected’, Ars Technica (15 March 2024) &lt;https://arstechnica.com/information-technology/2024/03/internet-outages-hit-13-countries-in-africa-due-to-undersea-cable-damage/&gt;.","noteIndex":58},"citationItems":[{"id":3323,"uris":["http://zotero.org/groups/5638933/items/K7925VG2"],"itemData":{"id":3323,"type":"webpage","abstract":"Parts of Africa were already seeing web disruptions from damaged Red Sea cables.","container-title":"Ars Technica","language":"en-US","title":"Cut submarine cables cause web outages across Africa; 6 countries still affected","URL":"https://arstechnica.com/information-technology/2024/03/internet-outages-hit-13-countries-in-africa-due-to-undersea-cable-damage/","author":[{"literal":"Scharon Harding"}],"accessed":{"date-parts":[["2024",10,13]]},"issued":{"date-parts":[["2024",3,15]]}}}],"schema":"https://github.com/citation-style-language/schema/raw/master/csl-citation.json"} </w:instrText>
      </w:r>
      <w:r>
        <w:fldChar w:fldCharType="separate"/>
      </w:r>
      <w:r w:rsidRPr="00B37761">
        <w:t xml:space="preserve">Scharon Harding, ‘Cut Submarine Cables Cause Web Outages across Africa; 6 Countries Still Affected’, </w:t>
      </w:r>
      <w:r w:rsidRPr="00B37761">
        <w:rPr>
          <w:i/>
          <w:iCs/>
        </w:rPr>
        <w:t>Ars Technica</w:t>
      </w:r>
      <w:r w:rsidRPr="00B37761">
        <w:t xml:space="preserve"> (15 March 2024) &lt;https://arstechnica.com/information-technology/2024/03/internet-outages-hit-13-countries-in-africa-due-to-undersea-cable-damage/&gt;.</w:t>
      </w:r>
      <w:r>
        <w:fldChar w:fldCharType="end"/>
      </w:r>
    </w:p>
  </w:footnote>
  <w:footnote w:id="60">
    <w:p w14:paraId="1B9B73A2" w14:textId="2EF5EABA" w:rsidR="00B87C0F" w:rsidRDefault="00B87C0F">
      <w:pPr>
        <w:pStyle w:val="FootnoteText"/>
      </w:pPr>
      <w:r w:rsidRPr="0045782B">
        <w:rPr>
          <w:rStyle w:val="FootnoteReference"/>
        </w:rPr>
        <w:footnoteRef/>
      </w:r>
      <w:r>
        <w:t xml:space="preserve"> </w:t>
      </w:r>
      <w:r>
        <w:fldChar w:fldCharType="begin"/>
      </w:r>
      <w:r w:rsidR="00040AA7">
        <w:instrText xml:space="preserve"> ADDIN ZOTERO_ITEM CSL_CITATION {"citationID":"5IekFeMT","properties":{"formattedCitation":"The Gambia Public Utilities Regulatory Authority, \\uc0\\u8216{}Mobile Network Operators\\uc0\\u8217{}, {\\i{}Public Utilities Regulatory Authority} (2024) &lt;https://pura.gm/ict/sub-sectors/mobile-network-operators/&gt;.","plainCitation":"The Gambia Public Utilities Regulatory Authority, ‘Mobile Network Operators’, Public Utilities Regulatory Authority (2024) &lt;https://pura.gm/ict/sub-sectors/mobile-network-operators/&gt;.","noteIndex":59},"citationItems":[{"id":3318,"uris":["http://zotero.org/groups/5638933/items/6T27MU2L"],"itemData":{"id":3318,"type":"webpage","abstract":"Overview of Mobile Network Operators Gambia’s Telecom sector has grown at full throttle over recent decades.  This has resulted in a relatively high level of mobile penetration. The sector’s growth is characterized by a highly competitive market and a vibrant environment in which innovative products and services move very quickly to the marketplace. There are […]","container-title":"Public Utilities Regulatory Authority","language":"en-US","title":"Mobile Network Operators","URL":"https://pura.gm/ict/sub-sectors/mobile-network-operators/","author":[{"literal":"The Gambia Public Utilities Regulatory Authority"}],"accessed":{"date-parts":[["2024",9,23]]},"issued":{"date-parts":[["2024"]]}}}],"schema":"https://github.com/citation-style-language/schema/raw/master/csl-citation.json"} </w:instrText>
      </w:r>
      <w:r>
        <w:fldChar w:fldCharType="separate"/>
      </w:r>
      <w:r w:rsidRPr="00B87C0F">
        <w:t xml:space="preserve">The Gambia Public Utilities Regulatory Authority, ‘Mobile Network Operators’, </w:t>
      </w:r>
      <w:r w:rsidRPr="00B87C0F">
        <w:rPr>
          <w:i/>
          <w:iCs/>
        </w:rPr>
        <w:t>Public Utilities Regulatory Authority</w:t>
      </w:r>
      <w:r w:rsidRPr="00B87C0F">
        <w:t xml:space="preserve"> (2024) &lt;https://pura.gm/ict/sub-sectors/mobile-network-operators/&gt;.</w:t>
      </w:r>
      <w:r>
        <w:fldChar w:fldCharType="end"/>
      </w:r>
    </w:p>
  </w:footnote>
  <w:footnote w:id="61">
    <w:p w14:paraId="3C6A4088" w14:textId="6BD1903E" w:rsidR="007B46E2" w:rsidRDefault="007B46E2">
      <w:pPr>
        <w:pStyle w:val="FootnoteText"/>
      </w:pPr>
      <w:r w:rsidRPr="0045782B">
        <w:rPr>
          <w:rStyle w:val="FootnoteReference"/>
        </w:rPr>
        <w:footnoteRef/>
      </w:r>
      <w:r>
        <w:t xml:space="preserve"> </w:t>
      </w:r>
      <w:r>
        <w:fldChar w:fldCharType="begin"/>
      </w:r>
      <w:r w:rsidR="00040AA7">
        <w:instrText xml:space="preserve"> ADDIN ZOTERO_ITEM CSL_CITATION {"citationID":"YyXUbPpe","properties":{"formattedCitation":"The Gambia Public Utilities Regulatory Authority, \\uc0\\u8216{}Fixed / Wireless Line Operator\\uc0\\u8217{}, {\\i{}Public Utilities Regulatory Authority} (2024) &lt;https://pura.gm/ict/sub-sectors/fixed-line-operator/&gt;.","plainCitation":"The Gambia Public Utilities Regulatory Authority, ‘Fixed / Wireless Line Operator’, Public Utilities Regulatory Authority (2024) &lt;https://pura.gm/ict/sub-sectors/fixed-line-operator/&gt;.","noteIndex":60},"citationItems":[{"id":3319,"uris":["http://zotero.org/groups/5638933/items/BNYINJ4R"],"itemData":{"id":3319,"type":"webpage","abstract":"Fixed / Wireless Line Operator The Gambia has only one fixed line operator GAMTEL the state-owned monopoly with a subscriber base of 41,612 as of December 2020. Historically, Gamtel has been the only fixed line operator, as a result owns the most geographically comprehensive fixed electronic communications network and infrastructure in The Gambia. Broadband Broadband […]","container-title":"Public Utilities Regulatory Authority","language":"en-US","title":"Fixed / Wireless Line Operator","URL":"https://pura.gm/ict/sub-sectors/fixed-line-operator/","author":[{"literal":"The Gambia Public Utilities Regulatory Authority"}],"accessed":{"date-parts":[["2024",9,23]]},"issued":{"date-parts":[["2024"]]}}}],"schema":"https://github.com/citation-style-language/schema/raw/master/csl-citation.json"} </w:instrText>
      </w:r>
      <w:r>
        <w:fldChar w:fldCharType="separate"/>
      </w:r>
      <w:r w:rsidRPr="007B46E2">
        <w:t xml:space="preserve">The Gambia Public Utilities Regulatory Authority, ‘Fixed / Wireless Line Operator’, </w:t>
      </w:r>
      <w:r w:rsidRPr="007B46E2">
        <w:rPr>
          <w:i/>
          <w:iCs/>
        </w:rPr>
        <w:t>Public Utilities Regulatory Authority</w:t>
      </w:r>
      <w:r w:rsidRPr="007B46E2">
        <w:t xml:space="preserve"> (2024) &lt;https://pura.gm/ict/sub-sectors/fixed-line-operator/&gt;.</w:t>
      </w:r>
      <w:r>
        <w:fldChar w:fldCharType="end"/>
      </w:r>
    </w:p>
  </w:footnote>
  <w:footnote w:id="62">
    <w:p w14:paraId="7695E620" w14:textId="20B11EA2" w:rsidR="00DF4ECF" w:rsidRDefault="00DF4ECF">
      <w:pPr>
        <w:pStyle w:val="FootnoteText"/>
      </w:pPr>
      <w:r w:rsidRPr="0045782B">
        <w:rPr>
          <w:rStyle w:val="FootnoteReference"/>
        </w:rPr>
        <w:footnoteRef/>
      </w:r>
      <w:r>
        <w:t xml:space="preserve"> </w:t>
      </w:r>
      <w:r>
        <w:fldChar w:fldCharType="begin"/>
      </w:r>
      <w:r w:rsidR="00040AA7">
        <w:instrText xml:space="preserve"> ADDIN ZOTERO_ITEM CSL_CITATION {"citationID":"uSmKFEIJ","properties":{"formattedCitation":"The Gambia Public Utilities Regulatory Authority, \\uc0\\u8216{}Internet Service Providers\\uc0\\u8217{}, {\\i{}Public Utilities Regulatory Authority} (2024) &lt;https://pura.gm/ict/sub-sectors/internet-service-providers/&gt;.","plainCitation":"The Gambia Public Utilities Regulatory Authority, ‘Internet Service Providers’, Public Utilities Regulatory Authority (2024) &lt;https://pura.gm/ict/sub-sectors/internet-service-providers/&gt;.","noteIndex":61},"citationItems":[{"id":3320,"uris":["http://zotero.org/groups/5638933/items/XF8ZEZ4G"],"itemData":{"id":3320,"type":"webpage","abstract":"Internet Service Providers (ISP) Overview ISPs typically provide Internet services, domain name registration and web hosting. There are four licensed ISPs, which are small operators serving local areas and businesses and so competition is minimal. Three of the MNOs (QCell, Comium and Gamtel) also offer fixed wireless services. The license duration of an ISP is […]","container-title":"Public Utilities Regulatory Authority","language":"en-US","title":"Internet Service Providers","URL":"https://pura.gm/ict/sub-sectors/internet-service-providers/","author":[{"literal":"The Gambia Public Utilities Regulatory Authority"}],"accessed":{"date-parts":[["2024",9,23]]},"issued":{"date-parts":[["2024"]]}}}],"schema":"https://github.com/citation-style-language/schema/raw/master/csl-citation.json"} </w:instrText>
      </w:r>
      <w:r>
        <w:fldChar w:fldCharType="separate"/>
      </w:r>
      <w:r w:rsidRPr="00DF4ECF">
        <w:t xml:space="preserve">The Gambia Public Utilities Regulatory Authority, ‘Internet Service Providers’, </w:t>
      </w:r>
      <w:r w:rsidRPr="00DF4ECF">
        <w:rPr>
          <w:i/>
          <w:iCs/>
        </w:rPr>
        <w:t>Public Utilities Regulatory Authority</w:t>
      </w:r>
      <w:r w:rsidRPr="00DF4ECF">
        <w:t xml:space="preserve"> (2024) &lt;https://pura.gm/ict/sub-sectors/internet-service-providers/&gt;.</w:t>
      </w:r>
      <w:r>
        <w:fldChar w:fldCharType="end"/>
      </w:r>
    </w:p>
  </w:footnote>
  <w:footnote w:id="63">
    <w:p w14:paraId="4EF4CCD9" w14:textId="33B01031" w:rsidR="005A741D" w:rsidRDefault="005A741D">
      <w:pPr>
        <w:pStyle w:val="FootnoteText"/>
      </w:pPr>
      <w:r w:rsidRPr="0045782B">
        <w:rPr>
          <w:rStyle w:val="FootnoteReference"/>
        </w:rPr>
        <w:footnoteRef/>
      </w:r>
      <w:r>
        <w:t xml:space="preserve"> </w:t>
      </w:r>
      <w:r>
        <w:fldChar w:fldCharType="begin"/>
      </w:r>
      <w:r w:rsidR="00040AA7">
        <w:instrText xml:space="preserve"> ADDIN ZOTERO_ITEM CSL_CITATION {"citationID":"4m0h39Oj","properties":{"formattedCitation":"The Gambia Public Utilities Regulatory Authority, {\\i{}Fixed / Wireless Line Operator} (n 60).","plainCitation":"The Gambia Public Utilities Regulatory Authority, Fixed / Wireless Line Operator (n 60).","noteIndex":62},"citationItems":[{"id":3319,"uris":["http://zotero.org/groups/5638933/items/BNYINJ4R"],"itemData":{"id":3319,"type":"webpage","abstract":"Fixed / Wireless Line Operator The Gambia has only one fixed line operator GAMTEL the state-owned monopoly with a subscriber base of 41,612 as of December 2020. Historically, Gamtel has been the only fixed line operator, as a result owns the most geographically comprehensive fixed electronic communications network and infrastructure in The Gambia. Broadband Broadband […]","container-title":"Public Utilities Regulatory Authority","language":"en-US","title":"Fixed / Wireless Line Operator","URL":"https://pura.gm/ict/sub-sectors/fixed-line-operator/","author":[{"literal":"The Gambia Public Utilities Regulatory Authority"}],"accessed":{"date-parts":[["2024",9,23]]},"issued":{"date-parts":[["2024"]]}}}],"schema":"https://github.com/citation-style-language/schema/raw/master/csl-citation.json"} </w:instrText>
      </w:r>
      <w:r>
        <w:fldChar w:fldCharType="separate"/>
      </w:r>
      <w:r w:rsidR="00040AA7" w:rsidRPr="00040AA7">
        <w:t xml:space="preserve">The Gambia Public Utilities Regulatory Authority, </w:t>
      </w:r>
      <w:r w:rsidR="00040AA7" w:rsidRPr="00040AA7">
        <w:rPr>
          <w:i/>
          <w:iCs/>
        </w:rPr>
        <w:t>Fixed / Wireless Line Operator</w:t>
      </w:r>
      <w:r w:rsidR="00040AA7" w:rsidRPr="00040AA7">
        <w:t xml:space="preserve"> (n 60).</w:t>
      </w:r>
      <w:r>
        <w:fldChar w:fldCharType="end"/>
      </w:r>
    </w:p>
  </w:footnote>
  <w:footnote w:id="64">
    <w:p w14:paraId="14E2A480" w14:textId="274E933C" w:rsidR="00D92206" w:rsidRPr="00DE1BD4" w:rsidRDefault="00D92206">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{"citationID":"6gA5OZau","properties":{"formattedCitation":"International Telecommunications Union, \\uc0\\u8216{}World Data - ITU DataHub\\uc0\\u8217{} (2024) &lt;https://datahub.itu.int/data/?Markets=Competition&gt;.","plainCitation":"International Telecommunications Union, ‘World Data - ITU DataHub’ (2024) &lt;https://datahub.itu.int/data/?Markets=Competition&gt;.","noteIndex":63},"citationItems":[{"id":3185,"uris":["http://zotero.org/groups/5420386/items/7692XICG"],"itemData":{"id":3185,"type":"webpage","title":"World data - ITU DataHub","URL":"https://datahub.itu.int/data/?Markets=Competition","author":[{"literal":"International Telecommunications Union"}],"accessed":{"date-parts":[["2024",8,9]]},"issued":{"date-parts":[["2024"]]}}}],"schema":"https://github.com/citation-style-language/schema/raw/master/csl-citation.json"} </w:instrText>
      </w:r>
      <w:r w:rsidRPr="00DE1BD4">
        <w:fldChar w:fldCharType="separate"/>
      </w:r>
      <w:r w:rsidR="00DF4ECF" w:rsidRPr="00DF4ECF">
        <w:t>International Telecommunications Union, ‘World Data - ITU DataHub’ (2024) &lt;https://datahub.itu.int/data/?Markets=Competition&gt;.</w:t>
      </w:r>
      <w:r w:rsidRPr="00DE1BD4">
        <w:fldChar w:fldCharType="end"/>
      </w:r>
    </w:p>
  </w:footnote>
  <w:footnote w:id="65">
    <w:p w14:paraId="03BC24CE" w14:textId="13CC4A5A" w:rsidR="00111EB3" w:rsidRDefault="00111EB3">
      <w:pPr>
        <w:pStyle w:val="FootnoteText"/>
      </w:pPr>
      <w:r w:rsidRPr="0045782B">
        <w:rPr>
          <w:rStyle w:val="FootnoteReference"/>
        </w:rPr>
        <w:footnoteRef/>
      </w:r>
      <w:r>
        <w:t xml:space="preserve"> </w:t>
      </w:r>
      <w:r>
        <w:fldChar w:fldCharType="begin"/>
      </w:r>
      <w:r w:rsidR="00040AA7">
        <w:instrText xml:space="preserve"> ADDIN ZOTERO_ITEM CSL_CITATION {"citationID":"t69S1nIe","properties":{"formattedCitation":"The Gambia Public Utilities Regulatory Authority, \\uc0\\u8216{}Annual Report and Financial Statements\\uc0\\u8217{} (n 37).","plainCitation":"The Gambia Public Utilities Regulatory Authority, ‘Annual Report and Financial Statements’ (n 37).","noteIndex":64},"citationItems":[{"id":3321,"uris":["http://zotero.org/groups/5638933/items/33GVXLAE"],"itemData":{"id":3321,"type":"document","publisher":"Public Utilities Regulatory Authority","title":"Annual Report and Financial Statements","author":[{"literal":"The Gambia Public Utilities Regulatory Authority"}],"issued":{"date-parts":[["2021"]]}}}],"schema":"https://github.com/citation-style-language/schema/raw/master/csl-citation.json"} </w:instrText>
      </w:r>
      <w:r>
        <w:fldChar w:fldCharType="separate"/>
      </w:r>
      <w:r w:rsidR="004B5C9A" w:rsidRPr="004B5C9A">
        <w:t>The Gambia Public Utilities Regulatory Authority, ‘Annual Report and Financial Statements’ (n 37).</w:t>
      </w:r>
      <w:r>
        <w:fldChar w:fldCharType="end"/>
      </w:r>
    </w:p>
  </w:footnote>
  <w:footnote w:id="66">
    <w:p w14:paraId="11E13B84" w14:textId="277F0412" w:rsidR="004638EC" w:rsidRDefault="004638EC">
      <w:pPr>
        <w:pStyle w:val="FootnoteText"/>
      </w:pPr>
      <w:r w:rsidRPr="0045782B">
        <w:rPr>
          <w:rStyle w:val="FootnoteReference"/>
        </w:rPr>
        <w:footnoteRef/>
      </w:r>
      <w:r>
        <w:t xml:space="preserve"> </w:t>
      </w:r>
      <w:r>
        <w:fldChar w:fldCharType="begin"/>
      </w:r>
      <w:r w:rsidR="00A95B7C">
        <w:instrText xml:space="preserve"> ADDIN ZOTERO_ITEM CSL_CITATION {"citationID":"8lRhYQto","properties":{"formattedCitation":"DataReportal, \\uc0\\u8216{}Digital 2024: The Gambia\\uc0\\u8217{}, {\\i{}DataReportal \\uc0\\u8211{} Global Digital Insights} (23 February 2024) &lt;https://datareportal.com/reports/digital-2024-gambia&gt; (\\uc0\\u8216{}{\\i{}Digital 2024}\\uc0\\u8217{}).","plainCitation":"DataReportal, ‘Digital 2024: The Gambia’, DataReportal – Global Digital Insights (23 February 2024) &lt;https://datareportal.com/reports/digital-2024-gambia&gt; (‘Digital 2024’).","noteIndex":65},"citationItems":[{"id":3302,"uris":["http://zotero.org/groups/5638933/items/EFGD4H6H"],"itemData":{"id":3302,"type":"webpage","abstract":"All the data, insights, and trends you need to help you make sense of the “state of digital” in The Gambia in 2024, including detailed statistics for internet use, social media use, and mobile use, as well as user numbers for all the top social platforms.","container-title":"DataReportal – Global Digital Insights","language":"en-GB","title":"Digital 2024: The Gambia","title-short":"Digital 2024","URL":"https://datareportal.com/reports/digital-2024-gambia","author":[{"literal":"DataReportal"}],"accessed":{"date-parts":[["2024",9,14]]},"issued":{"date-parts":[["2024",2,23]]}}}],"schema":"https://github.com/citation-style-language/schema/raw/master/csl-citation.json"} </w:instrText>
      </w:r>
      <w:r>
        <w:fldChar w:fldCharType="separate"/>
      </w:r>
      <w:r w:rsidR="00111EB3" w:rsidRPr="00111EB3">
        <w:t xml:space="preserve">DataReportal, ‘Digital 2024: The Gambia’, </w:t>
      </w:r>
      <w:r w:rsidR="00111EB3" w:rsidRPr="00111EB3">
        <w:rPr>
          <w:i/>
          <w:iCs/>
        </w:rPr>
        <w:t>DataReportal – Global Digital Insights</w:t>
      </w:r>
      <w:r w:rsidR="00111EB3" w:rsidRPr="00111EB3">
        <w:t xml:space="preserve"> (23 February 2024) &lt;https://datareportal.com/reports/digital-2024-gambia&gt; (‘</w:t>
      </w:r>
      <w:r w:rsidR="00111EB3" w:rsidRPr="00111EB3">
        <w:rPr>
          <w:i/>
          <w:iCs/>
        </w:rPr>
        <w:t>Digital 2024</w:t>
      </w:r>
      <w:r w:rsidR="00111EB3" w:rsidRPr="00111EB3">
        <w:t>’).</w:t>
      </w:r>
      <w:r>
        <w:fldChar w:fldCharType="end"/>
      </w:r>
    </w:p>
  </w:footnote>
  <w:footnote w:id="67">
    <w:p w14:paraId="10BEFEF0" w14:textId="432A16FB" w:rsidR="00B44008" w:rsidRDefault="00B44008">
      <w:pPr>
        <w:pStyle w:val="FootnoteText"/>
      </w:pPr>
      <w:r w:rsidRPr="0045782B">
        <w:rPr>
          <w:rStyle w:val="FootnoteReference"/>
        </w:rPr>
        <w:footnoteRef/>
      </w:r>
      <w:r>
        <w:t xml:space="preserve"> </w:t>
      </w:r>
      <w:r>
        <w:fldChar w:fldCharType="begin"/>
      </w:r>
      <w:r w:rsidR="00A95B7C">
        <w:instrText xml:space="preserve"> ADDIN ZOTERO_ITEM CSL_CITATION {"citationID":"9elfbs3z","properties":{"formattedCitation":"Ministry of Communications and Digital Economy, Republic of The Gambia, \\uc0\\u8216{}2023 Achievement Highlights\\uc0\\u8217{} &lt;https://mocde.gov.gm/wp-content/uploads/2024/01/MOCDE-Infographic.pdf&gt;.","plainCitation":"Ministry of Communications and Digital Economy, Republic of The Gambia, ‘2023 Achievement Highlights’ &lt;https://mocde.gov.gm/wp-content/uploads/2024/01/MOCDE-Infographic.pdf&gt;.","noteIndex":66},"citationItems":[{"id":3342,"uris":["http://zotero.org/groups/5638933/items/8HDUV8EB"],"itemData":{"id":3342,"type":"document","title":"2023 Achievement Highlights","URL":"https://mocde.gov.gm/wp-content/uploads/2024/01/MOCDE-Infographic.pdf","author":[{"literal":"Ministry of Communications and Digital Economy, Republic of The Gambia"}],"accessed":{"date-parts":[["2024",10,22]]},"issued":{"date-parts":[["2023"]]}}}],"schema":"https://github.com/citation-style-language/schema/raw/master/csl-citation.json"} </w:instrText>
      </w:r>
      <w:r>
        <w:fldChar w:fldCharType="separate"/>
      </w:r>
      <w:r w:rsidRPr="00B44008">
        <w:t>Ministry of Communications and Digital Economy, Republic of The Gambia, ‘2023 Achievement Highlights’ &lt;https://mocde.gov.gm/wp-content/uploads/2024/01/MOCDE-Infographic.pdf&gt;.</w:t>
      </w:r>
      <w:r>
        <w:fldChar w:fldCharType="end"/>
      </w:r>
    </w:p>
  </w:footnote>
  <w:footnote w:id="68">
    <w:p w14:paraId="395FF10B" w14:textId="5899B1C4" w:rsidR="00DD5E18" w:rsidRDefault="00DD5E18">
      <w:pPr>
        <w:pStyle w:val="FootnoteText"/>
      </w:pPr>
      <w:r>
        <w:rPr>
          <w:rStyle w:val="FootnoteReference"/>
        </w:rPr>
        <w:footnoteRef/>
      </w:r>
      <w:r>
        <w:t xml:space="preserve"> </w:t>
      </w:r>
      <w:r>
        <w:fldChar w:fldCharType="begin"/>
      </w:r>
      <w:r w:rsidR="00A95B7C">
        <w:instrText xml:space="preserve"> ADDIN ZOTERO_ITEM CSL_CITATION {"citationID":"hHBh1wBq","properties":{"formattedCitation":"Ministry of Information and Communication Infrastructure (n 30).","plainCitation":"Ministry of Information and Communication Infrastructure (n 30).","noteIndex":67},"citationItems":[{"id":3362,"uris":["http://zotero.org/groups/5638933/items/C4GFSFGK"],"itemData":{"id":3362,"type":"document","publisher":"The Republic of The Gambia","title":"The Gambia National Broadband Policy 2020-2024","author":[{"literal":"Ministry of Information and Communication Infrastructure"}],"issued":{"date-parts":[["2020"]]}}}],"schema":"https://github.com/citation-style-language/schema/raw/master/csl-citation.json"} </w:instrText>
      </w:r>
      <w:r>
        <w:fldChar w:fldCharType="separate"/>
      </w:r>
      <w:r w:rsidR="00171D4B" w:rsidRPr="00171D4B">
        <w:t>Ministry of Information and Communication Infrastructure (n 30).</w:t>
      </w:r>
      <w:r>
        <w:fldChar w:fldCharType="end"/>
      </w:r>
    </w:p>
  </w:footnote>
  <w:footnote w:id="69">
    <w:p w14:paraId="10A7CBDD" w14:textId="4965114E" w:rsidR="00520B2A" w:rsidRDefault="00520B2A">
      <w:pPr>
        <w:pStyle w:val="FootnoteText"/>
      </w:pPr>
      <w:r>
        <w:rPr>
          <w:rStyle w:val="FootnoteReference"/>
        </w:rPr>
        <w:footnoteRef/>
      </w:r>
      <w:r>
        <w:t xml:space="preserve"> </w:t>
      </w:r>
      <w:r>
        <w:fldChar w:fldCharType="begin"/>
      </w:r>
      <w:r w:rsidR="00A95B7C">
        <w:instrText xml:space="preserve"> ADDIN ZOTERO_ITEM CSL_CITATION {"citationID":"gxQQRnoa","properties":{"formattedCitation":"Ibid 31.","plainCitation":"Ibid 31.","noteIndex":68},"citationItems":[{"id":3362,"uris":["http://zotero.org/groups/5638933/items/C4GFSFGK"],"itemData":{"id":3362,"type":"document","publisher":"The Republic of The Gambia","title":"The Gambia National Broadband Policy 2020-2024","author":[{"literal":"Ministry of Information and Communication Infrastructure"}],"issued":{"date-parts":[["2020"]]}},"locator":"31","label":"page"}],"schema":"https://github.com/citation-style-language/schema/raw/master/csl-citation.json"} </w:instrText>
      </w:r>
      <w:r>
        <w:fldChar w:fldCharType="separate"/>
      </w:r>
      <w:r w:rsidRPr="00520B2A">
        <w:t>Ibid 31.</w:t>
      </w:r>
      <w:r>
        <w:fldChar w:fldCharType="end"/>
      </w:r>
    </w:p>
  </w:footnote>
  <w:footnote w:id="70">
    <w:p w14:paraId="6A244277" w14:textId="157CCA2B" w:rsidR="0044120B" w:rsidRDefault="0044120B">
      <w:pPr>
        <w:pStyle w:val="FootnoteText"/>
      </w:pPr>
      <w:r>
        <w:rPr>
          <w:rStyle w:val="FootnoteReference"/>
        </w:rPr>
        <w:footnoteRef/>
      </w:r>
      <w:r>
        <w:t xml:space="preserve"> </w:t>
      </w:r>
      <w:r>
        <w:fldChar w:fldCharType="begin"/>
      </w:r>
      <w:r w:rsidR="00A95B7C">
        <w:instrText xml:space="preserve"> ADDIN ZOTERO_ITEM CSL_CITATION {"citationID":"VHbWjSnd","properties":{"formattedCitation":"Ministry of Information and Communication Infrastructure (n 30).","plainCitation":"Ministry of Information and Communication Infrastructure (n 30).","noteIndex":69},"citationItems":[{"id":3362,"uris":["http://zotero.org/groups/5638933/items/C4GFSFGK"],"itemData":{"id":3362,"type":"document","publisher":"The Republic of The Gambia","title":"The Gambia National Broadband Policy 2020-2024","author":[{"literal":"Ministry of Information and Communication Infrastructure"}],"issued":{"date-parts":[["2020"]]}}}],"schema":"https://github.com/citation-style-language/schema/raw/master/csl-citation.json"} </w:instrText>
      </w:r>
      <w:r>
        <w:fldChar w:fldCharType="separate"/>
      </w:r>
      <w:r w:rsidR="00171D4B" w:rsidRPr="00171D4B">
        <w:t>Ministry of Information and Communication Infrastructure (n 30).</w:t>
      </w:r>
      <w:r>
        <w:fldChar w:fldCharType="end"/>
      </w:r>
    </w:p>
  </w:footnote>
  <w:footnote w:id="71">
    <w:p w14:paraId="06361743" w14:textId="734EAEB3" w:rsidR="00492BC2" w:rsidRPr="00DE1BD4" w:rsidRDefault="00492BC2" w:rsidP="00492BC2">
      <w:pPr>
        <w:pStyle w:val="FootnoteText"/>
        <w:jc w:val="left"/>
      </w:pPr>
      <w:r w:rsidRPr="0045782B">
        <w:rPr>
          <w:rStyle w:val="FootnoteReference"/>
        </w:rPr>
        <w:footnoteRef/>
      </w:r>
      <w:r w:rsidRPr="00DE1BD4">
        <w:t xml:space="preserve"> </w:t>
      </w:r>
      <w:r w:rsidRPr="00DE1BD4">
        <w:fldChar w:fldCharType="begin"/>
      </w:r>
      <w:r w:rsidR="00040AA7">
        <w:instrText xml:space="preserve"> ADDIN ZOTERO_ITEM CSL_CITATION {"citationID":"ms1dh6AE","properties":{"formattedCitation":"\\uc0\\u8216{}ITU Connectivity Infrastructure Maps\\uc0\\u8217{}, {\\i{}ITU} &lt;https://www.itu.int:443/en/ITU-D/Technology/Pages/InteractiveTransmissionMaps.aspx&gt;.","plainCitation":"‘ITU Connectivity Infrastructure Maps’, ITU &lt;https://www.itu.int:443/en/ITU-D/Technology/Pages/InteractiveTransmissionMaps.aspx&gt;.","noteIndex":70},"citationItems":[{"id":2949,"uris":["http://zotero.org/groups/5420386/items/GBXUK7XE"],"itemData":{"id":2949,"type":"webpage","container-title":"ITU","language":"en-US","title":"ITU Connectivity Infrastructure Maps","URL":"https://www.itu.int:443/en/ITU-D/Technology/Pages/InteractiveTransmissionMaps.aspx","accessed":{"date-parts":[["2024",5,30]]}}}],"schema":"https://github.com/citation-style-language/schema/raw/master/csl-citation.json"} </w:instrText>
      </w:r>
      <w:r w:rsidRPr="00DE1BD4">
        <w:fldChar w:fldCharType="separate"/>
      </w:r>
      <w:r w:rsidRPr="00DE1BD4">
        <w:t xml:space="preserve">‘ITU Connectivity Infrastructure Maps’, </w:t>
      </w:r>
      <w:r w:rsidRPr="00DE1BD4">
        <w:rPr>
          <w:i/>
          <w:iCs/>
        </w:rPr>
        <w:t>ITU</w:t>
      </w:r>
      <w:r w:rsidRPr="00DE1BD4">
        <w:t xml:space="preserve"> &lt;https://www.itu.int:443/en/ITU-D/Technology/Pages/InteractiveTransmissionMaps.aspx&gt;.</w:t>
      </w:r>
      <w:r w:rsidRPr="00DE1BD4">
        <w:fldChar w:fldCharType="end"/>
      </w:r>
    </w:p>
  </w:footnote>
  <w:footnote w:id="72">
    <w:p w14:paraId="0EA4EA79" w14:textId="6B8ED851" w:rsidR="006A24C9" w:rsidRDefault="006A24C9">
      <w:pPr>
        <w:pStyle w:val="FootnoteText"/>
      </w:pPr>
      <w:r w:rsidRPr="0045782B">
        <w:rPr>
          <w:rStyle w:val="FootnoteReference"/>
        </w:rPr>
        <w:footnoteRef/>
      </w:r>
      <w:r>
        <w:t xml:space="preserve"> </w:t>
      </w:r>
      <w:r>
        <w:fldChar w:fldCharType="begin"/>
      </w:r>
      <w:r w:rsidR="00040AA7">
        <w:instrText xml:space="preserve"> ADDIN ZOTERO_ITEM CSL_CITATION {"citationID":"tAhPx0MS","properties":{"formattedCitation":"Ibid.","plainCitation":"Ibid.","noteIndex":71},"citationItems":[{"id":2949,"uris":["http://zotero.org/groups/5420386/items/GBXUK7XE"],"itemData":{"id":2949,"type":"webpage","container-title":"ITU","language":"en-US","title":"ITU Connectivity Infrastructure Maps","URL":"https://www.itu.int:443/en/ITU-D/Technology/Pages/InteractiveTransmissionMaps.aspx","accessed":{"date-parts":[["2024",5,30]]}}}],"schema":"https://github.com/citation-style-language/schema/raw/master/csl-citation.json"} </w:instrText>
      </w:r>
      <w:r>
        <w:fldChar w:fldCharType="separate"/>
      </w:r>
      <w:r w:rsidRPr="006A24C9">
        <w:t>Ibid.</w:t>
      </w:r>
      <w:r>
        <w:fldChar w:fldCharType="end"/>
      </w:r>
    </w:p>
  </w:footnote>
  <w:footnote w:id="73">
    <w:p w14:paraId="0FABF188" w14:textId="372B32EA" w:rsidR="003F4083" w:rsidRDefault="003F4083">
      <w:pPr>
        <w:pStyle w:val="FootnoteText"/>
      </w:pPr>
      <w:r w:rsidRPr="0045782B">
        <w:rPr>
          <w:rStyle w:val="FootnoteReference"/>
        </w:rPr>
        <w:footnoteRef/>
      </w:r>
      <w:r>
        <w:t xml:space="preserve"> </w:t>
      </w:r>
      <w:r>
        <w:fldChar w:fldCharType="begin"/>
      </w:r>
      <w:r w:rsidR="00040AA7">
        <w:instrText xml:space="preserve"> ADDIN ZOTERO_ITEM CSL_CITATION {"citationID":"MNhmRgQG","properties":{"formattedCitation":"The Gambia Public Utilities Regulatory Authority, {\\i{}Fixed / Wireless Line Operator} (n 60).","plainCitation":"The Gambia Public Utilities Regulatory Authority, Fixed / Wireless Line Operator (n 60).","noteIndex":72},"citationItems":[{"id":3319,"uris":["http://zotero.org/groups/5638933/items/BNYINJ4R"],"itemData":{"id":3319,"type":"webpage","abstract":"Fixed / Wireless Line Operator The Gambia has only one fixed line operator GAMTEL the state-owned monopoly with a subscriber base of 41,612 as of December 2020. Historically, Gamtel has been the only fixed line operator, as a result owns the most geographically comprehensive fixed electronic communications network and infrastructure in The Gambia. Broadband Broadband […]","container-title":"Public Utilities Regulatory Authority","language":"en-US","title":"Fixed / Wireless Line Operator","URL":"https://pura.gm/ict/sub-sectors/fixed-line-operator/","author":[{"literal":"The Gambia Public Utilities Regulatory Authority"}],"accessed":{"date-parts":[["2024",9,23]]},"issued":{"date-parts":[["2024"]]}}}],"schema":"https://github.com/citation-style-language/schema/raw/master/csl-citation.json"} </w:instrText>
      </w:r>
      <w:r>
        <w:fldChar w:fldCharType="separate"/>
      </w:r>
      <w:r w:rsidR="00040AA7" w:rsidRPr="00040AA7">
        <w:t xml:space="preserve">The Gambia Public Utilities Regulatory Authority, </w:t>
      </w:r>
      <w:r w:rsidR="00040AA7" w:rsidRPr="00040AA7">
        <w:rPr>
          <w:i/>
          <w:iCs/>
        </w:rPr>
        <w:t>Fixed / Wireless Line Operator</w:t>
      </w:r>
      <w:r w:rsidR="00040AA7" w:rsidRPr="00040AA7">
        <w:t xml:space="preserve"> (n 60).</w:t>
      </w:r>
      <w:r>
        <w:fldChar w:fldCharType="end"/>
      </w:r>
    </w:p>
  </w:footnote>
  <w:footnote w:id="74">
    <w:p w14:paraId="4C44CB20" w14:textId="3B213C8F" w:rsidR="001A5F60" w:rsidRDefault="001A5F60">
      <w:pPr>
        <w:pStyle w:val="FootnoteText"/>
      </w:pPr>
      <w:r w:rsidRPr="0045782B">
        <w:rPr>
          <w:rStyle w:val="FootnoteReference"/>
        </w:rPr>
        <w:footnoteRef/>
      </w:r>
      <w:r>
        <w:t xml:space="preserve"> </w:t>
      </w:r>
      <w:r>
        <w:fldChar w:fldCharType="begin"/>
      </w:r>
      <w:r w:rsidR="00040AA7">
        <w:instrText xml:space="preserve"> ADDIN ZOTERO_ITEM CSL_CITATION {"citationID":"F4RkM6tS","properties":{"formattedCitation":"The Gambia Public Utilities Regulatory Authority, \\uc0\\u8216{}Annual Report and Financial Statements\\uc0\\u8217{} (n 37).","plainCitation":"The Gambia Public Utilities Regulatory Authority, ‘Annual Report and Financial Statements’ (n 37).","noteIndex":73},"citationItems":[{"id":3321,"uris":["http://zotero.org/groups/5638933/items/33GVXLAE"],"itemData":{"id":3321,"type":"document","publisher":"Public Utilities Regulatory Authority","title":"Annual Report and Financial Statements","author":[{"literal":"The Gambia Public Utilities Regulatory Authority"}],"issued":{"date-parts":[["2021"]]}}}],"schema":"https://github.com/citation-style-language/schema/raw/master/csl-citation.json"} </w:instrText>
      </w:r>
      <w:r>
        <w:fldChar w:fldCharType="separate"/>
      </w:r>
      <w:r w:rsidR="004B5C9A" w:rsidRPr="004B5C9A">
        <w:t>The Gambia Public Utilities Regulatory Authority, ‘Annual Report and Financial Statements’ (n 37).</w:t>
      </w:r>
      <w:r>
        <w:fldChar w:fldCharType="end"/>
      </w:r>
    </w:p>
  </w:footnote>
  <w:footnote w:id="75">
    <w:p w14:paraId="43BAB07E" w14:textId="1568CD32" w:rsidR="00CC3F83" w:rsidRPr="00DE1BD4" w:rsidRDefault="00CC3F83">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{"citationID":"xGJcZZZg","properties":{"formattedCitation":"International Telecommunications Union, \\uc0\\u8216{}Digital Development Dashboard\\uc0\\u8217{}, {\\i{}ITU} (2022) &lt;https://www.itu.int:443/en/ITU-D/Statistics/Dashboards/Pages/Digital-Development.aspx&gt;.","plainCitation":"International Telecommunications Union, ‘Digital Development Dashboard’, ITU (2022) &lt;https://www.itu.int:443/en/ITU-D/Statistics/Dashboards/Pages/Digital-Development.aspx&gt;.","noteIndex":74},"citationItems":[{"id":1589,"uris":["http://zotero.org/groups/4544658/items/JF4S9GNW"],"itemData":{"id":1589,"type":"webpage","container-title":"ITU","language":"en-US","title":"Digital Development Dashboard","URL":"https://www.itu.int:443/en/ITU-D/Statistics/Dashboards/Pages/Digital-Development.aspx","author":[{"literal":"International Telecommunications Union"}],"accessed":{"date-parts":[["2022",7,31]]},"issued":{"date-parts":[["2022"]]}}}],"schema":"https://github.com/citation-style-language/schema/raw/master/csl-citation.json"} </w:instrText>
      </w:r>
      <w:r w:rsidRPr="00DE1BD4">
        <w:fldChar w:fldCharType="separate"/>
      </w:r>
      <w:r w:rsidRPr="00DE1BD4">
        <w:t xml:space="preserve">International Telecommunications Union, ‘Digital Development Dashboard’, </w:t>
      </w:r>
      <w:r w:rsidRPr="00DE1BD4">
        <w:rPr>
          <w:i/>
          <w:iCs/>
        </w:rPr>
        <w:t>ITU</w:t>
      </w:r>
      <w:r w:rsidRPr="00DE1BD4">
        <w:t xml:space="preserve"> (2022) &lt;https://www.itu.int:443/en/ITU-D/Statistics/Dashboards/Pages/Digital-Development.aspx&gt;.</w:t>
      </w:r>
      <w:r w:rsidRPr="00DE1BD4">
        <w:fldChar w:fldCharType="end"/>
      </w:r>
    </w:p>
  </w:footnote>
  <w:footnote w:id="76">
    <w:p w14:paraId="2436D46D" w14:textId="35FDC0DC" w:rsidR="00810997" w:rsidRDefault="00810997">
      <w:pPr>
        <w:pStyle w:val="FootnoteText"/>
      </w:pPr>
      <w:r w:rsidRPr="0045782B">
        <w:rPr>
          <w:rStyle w:val="FootnoteReference"/>
        </w:rPr>
        <w:footnoteRef/>
      </w:r>
      <w:r>
        <w:t xml:space="preserve"> </w:t>
      </w:r>
      <w:r>
        <w:fldChar w:fldCharType="begin"/>
      </w:r>
      <w:r w:rsidR="00040AA7">
        <w:instrText xml:space="preserve"> ADDIN ZOTERO_ITEM CSL_CITATION {"citationID":"WLfoRWM6","properties":{"formattedCitation":"The Gambia Public Utilities Regulatory Authority, \\uc0\\u8216{}Annual Report and Financial Statements\\uc0\\u8217{} (n 37).","plainCitation":"The Gambia Public Utilities Regulatory Authority, ‘Annual Report and Financial Statements’ (n 37).","noteIndex":75},"citationItems":[{"id":3321,"uris":["http://zotero.org/groups/5638933/items/33GVXLAE"],"itemData":{"id":3321,"type":"document","publisher":"Public Utilities Regulatory Authority","title":"Annual Report and Financial Statements","author":[{"literal":"The Gambia Public Utilities Regulatory Authority"}],"issued":{"date-parts":[["2021"]]}}}],"schema":"https://github.com/citation-style-language/schema/raw/master/csl-citation.json"} </w:instrText>
      </w:r>
      <w:r>
        <w:fldChar w:fldCharType="separate"/>
      </w:r>
      <w:r w:rsidR="004B5C9A" w:rsidRPr="004B5C9A">
        <w:t>The Gambia Public Utilities Regulatory Authority, ‘Annual Report and Financial Statements’ (n 37).</w:t>
      </w:r>
      <w:r>
        <w:fldChar w:fldCharType="end"/>
      </w:r>
    </w:p>
  </w:footnote>
  <w:footnote w:id="77">
    <w:p w14:paraId="65B77AE1" w14:textId="7D94E42B" w:rsidR="00836A5C" w:rsidRDefault="00836A5C">
      <w:pPr>
        <w:pStyle w:val="FootnoteText"/>
      </w:pPr>
      <w:r w:rsidRPr="0045782B">
        <w:rPr>
          <w:rStyle w:val="FootnoteReference"/>
        </w:rPr>
        <w:footnoteRef/>
      </w:r>
      <w:r>
        <w:t xml:space="preserve"> </w:t>
      </w:r>
      <w:r>
        <w:fldChar w:fldCharType="begin"/>
      </w:r>
      <w:r w:rsidR="00A95B7C">
        <w:instrText xml:space="preserve"> ADDIN ZOTERO_ITEM CSL_CITATION {"citationID":"kHJuKEo4","properties":{"formattedCitation":"GSMA, \\uc0\\u8216{}Network Coverage Maps - Africell\\uc0\\u8217{}, {\\i{}GSMA} (2024) &lt;https://www.gsma.com/coverage/&gt;.","plainCitation":"GSMA, ‘Network Coverage Maps - Africell’, GSMA (2024) &lt;https://www.gsma.com/coverage/&gt;.","noteIndex":76},"citationItems":[{"id":3326,"uris":["http://zotero.org/groups/5638933/items/4LUQNV2N"],"itemData":{"id":3326,"type":"post-weblog","abstract":"GSMA members continuously update their network coverage and submit their latest data to the GSMA. Simply select the country you are visiting from the dropdown menu and the operators in that country will be listed. Choose an operator to see the extent of its coverage highlighted on the map. Our coverage maps are produced in […]","container-title":"GSMA","language":"en-GB","title":"Network coverage maps - Africell","URL":"https://www.gsma.com/coverage/","author":[{"literal":"GSMA"}],"issued":{"date-parts":[["2024"]]}}}],"schema":"https://github.com/citation-style-language/schema/raw/master/csl-citation.json"} </w:instrText>
      </w:r>
      <w:r>
        <w:fldChar w:fldCharType="separate"/>
      </w:r>
      <w:r w:rsidRPr="00836A5C">
        <w:t xml:space="preserve">GSMA, ‘Network Coverage Maps - Africell’, </w:t>
      </w:r>
      <w:r w:rsidRPr="00836A5C">
        <w:rPr>
          <w:i/>
          <w:iCs/>
        </w:rPr>
        <w:t>GSMA</w:t>
      </w:r>
      <w:r w:rsidRPr="00836A5C">
        <w:t xml:space="preserve"> (2024) &lt;https://www.gsma.com/coverage/&gt;.</w:t>
      </w:r>
      <w:r>
        <w:fldChar w:fldCharType="end"/>
      </w:r>
    </w:p>
  </w:footnote>
  <w:footnote w:id="78">
    <w:p w14:paraId="39AEC919" w14:textId="350B4C08" w:rsidR="00C9629A" w:rsidRDefault="00C9629A">
      <w:pPr>
        <w:pStyle w:val="FootnoteText"/>
      </w:pPr>
      <w:r w:rsidRPr="0045782B">
        <w:rPr>
          <w:rStyle w:val="FootnoteReference"/>
        </w:rPr>
        <w:footnoteRef/>
      </w:r>
      <w:r>
        <w:t xml:space="preserve"> </w:t>
      </w:r>
      <w:r>
        <w:fldChar w:fldCharType="begin"/>
      </w:r>
      <w:r w:rsidR="00A95B7C">
        <w:instrText xml:space="preserve"> ADDIN ZOTERO_ITEM CSL_CITATION {"citationID":"PRavhtxK","properties":{"formattedCitation":"GSMA, \\uc0\\u8216{}Vodacom - Network Coverage Maps\\uc0\\u8217{} (2024) &lt;https://www.gsma.com/coverage/#553&gt;.","plainCitation":"GSMA, ‘Vodacom - Network Coverage Maps’ (2024) &lt;https://www.gsma.com/coverage/#553&gt;.","noteIndex":77},"citationItems":[{"id":3248,"uris":["http://zotero.org/groups/5420386/items/2E9P5RDN"],"itemData":{"id":3248,"type":"webpage","title":"Vodacom - Network Coverage Maps","URL":"https://www.gsma.com/coverage/#553","author":[{"literal":"GSMA"}],"accessed":{"date-parts":[["2024",8,15]]},"issued":{"date-parts":[["2024"]]}}}],"schema":"https://github.com/citation-style-language/schema/raw/master/csl-citation.json"} </w:instrText>
      </w:r>
      <w:r>
        <w:fldChar w:fldCharType="separate"/>
      </w:r>
      <w:r w:rsidRPr="00C9629A">
        <w:t>GSMA, ‘Vodacom - Network Coverage Maps’ (2024) &lt;https://www.gsma.com/coverage/#553&gt;.</w:t>
      </w:r>
      <w:r>
        <w:fldChar w:fldCharType="end"/>
      </w:r>
    </w:p>
  </w:footnote>
  <w:footnote w:id="79">
    <w:p w14:paraId="6424CC90" w14:textId="73B7788C" w:rsidR="00220612" w:rsidRDefault="00220612">
      <w:pPr>
        <w:pStyle w:val="FootnoteText"/>
      </w:pPr>
      <w:r w:rsidRPr="0045782B">
        <w:rPr>
          <w:rStyle w:val="FootnoteReference"/>
        </w:rPr>
        <w:footnoteRef/>
      </w:r>
      <w:r>
        <w:t xml:space="preserve"> </w:t>
      </w:r>
      <w:r>
        <w:fldChar w:fldCharType="begin"/>
      </w:r>
      <w:r w:rsidR="00A95B7C">
        <w:instrText xml:space="preserve"> ADDIN ZOTERO_ITEM CSL_CITATION {"citationID":"N8mPP8rP","properties":{"formattedCitation":"GSMA, \\uc0\\u8216{}Network Coverage Maps - QCell\\uc0\\u8217{}, {\\i{}GSMA} (2024) &lt;https://www.gsma.com/coverage/&gt;.","plainCitation":"GSMA, ‘Network Coverage Maps - QCell’, GSMA (2024) &lt;https://www.gsma.com/coverage/&gt;.","noteIndex":78},"citationItems":[{"id":3327,"uris":["http://zotero.org/groups/5638933/items/TCF6FKC8"],"itemData":{"id":3327,"type":"post-weblog","abstract":"GSMA members continuously update their network coverage and submit their latest data to the GSMA. Simply select the country you are visiting from the dropdown menu and the operators in that country will be listed. Choose an operator to see the extent of its coverage highlighted on the map. Our coverage maps are produced in […]","container-title":"GSMA","language":"en-GB","title":"Network coverage maps - QCell","URL":"https://www.gsma.com/coverage/","author":[{"literal":"GSMA"}],"issued":{"date-parts":[["2024"]]}}}],"schema":"https://github.com/citation-style-language/schema/raw/master/csl-citation.json"} </w:instrText>
      </w:r>
      <w:r>
        <w:fldChar w:fldCharType="separate"/>
      </w:r>
      <w:r w:rsidRPr="00220612">
        <w:t xml:space="preserve">GSMA, ‘Network Coverage Maps - QCell’, </w:t>
      </w:r>
      <w:r w:rsidRPr="00220612">
        <w:rPr>
          <w:i/>
          <w:iCs/>
        </w:rPr>
        <w:t>GSMA</w:t>
      </w:r>
      <w:r w:rsidRPr="00220612">
        <w:t xml:space="preserve"> (2024) &lt;https://www.gsma.com/coverage/&gt;.</w:t>
      </w:r>
      <w:r>
        <w:fldChar w:fldCharType="end"/>
      </w:r>
    </w:p>
  </w:footnote>
  <w:footnote w:id="80">
    <w:p w14:paraId="39EB6032" w14:textId="1CC81948" w:rsidR="003A11FC" w:rsidRDefault="003A11FC">
      <w:pPr>
        <w:pStyle w:val="FootnoteText"/>
      </w:pPr>
      <w:r w:rsidRPr="0045782B">
        <w:rPr>
          <w:rStyle w:val="FootnoteReference"/>
        </w:rPr>
        <w:footnoteRef/>
      </w:r>
      <w:r>
        <w:t xml:space="preserve"> </w:t>
      </w:r>
      <w:r>
        <w:fldChar w:fldCharType="begin"/>
      </w:r>
      <w:r w:rsidR="00A95B7C">
        <w:instrText xml:space="preserve"> ADDIN ZOTERO_ITEM CSL_CITATION {"citationID":"6smaScDy","properties":{"formattedCitation":"nPerf, \\uc0\\u8216{}3G / 4G / 5G Coverage in The Gambia - Comium\\uc0\\u8217{} (2024) &lt;https://www.nperf.com/en/map/GM/-/207892.Comium-Mobile/signal?ll=13.323480401570771&amp;lg=-16.908988952636722&amp;zoom=11&gt;.","plainCitation":"nPerf, ‘3G / 4G / 5G Coverage in The Gambia - Comium’ (2024) &lt;https://www.nperf.com/en/map/GM/-/207892.Comium-Mobile/signal?ll=13.323480401570771&amp;lg=-16.908988952636722&amp;zoom=11&gt;.","noteIndex":79},"citationItems":[{"id":3329,"uris":["http://zotero.org/groups/5638933/items/Q42J7PLH"],"itemData":{"id":3329,"type":"webpage","title":"3G / 4G / 5G coverage in The Gambia - Comium","URL":"https://www.nperf.com/en/map/GM/-/207892.Comium-Mobile/signal?ll=13.323480401570771&amp;lg=-16.908988952636722&amp;zoom=11","author":[{"literal":"nPerf"}],"issued":{"date-parts":[["2024"]]}}}],"schema":"https://github.com/citation-style-language/schema/raw/master/csl-citation.json"} </w:instrText>
      </w:r>
      <w:r>
        <w:fldChar w:fldCharType="separate"/>
      </w:r>
      <w:r w:rsidRPr="003A11FC">
        <w:t>nPerf, ‘3G / 4G / 5G Coverage in The Gambia - Comium’ (2024) &lt;https://www.nperf.com/en/map/GM/-/207892.Comium-Mobile/signal?ll=13.323480401570771&amp;lg=-16.908988952636722&amp;zoom=11&gt;.</w:t>
      </w:r>
      <w:r>
        <w:fldChar w:fldCharType="end"/>
      </w:r>
    </w:p>
  </w:footnote>
  <w:footnote w:id="81">
    <w:p w14:paraId="7C1CB612" w14:textId="3A472880" w:rsidR="00256BF8" w:rsidRDefault="00256BF8">
      <w:pPr>
        <w:pStyle w:val="FootnoteText"/>
      </w:pPr>
      <w:r w:rsidRPr="0045782B">
        <w:rPr>
          <w:rStyle w:val="FootnoteReference"/>
        </w:rPr>
        <w:footnoteRef/>
      </w:r>
      <w:r>
        <w:t xml:space="preserve"> </w:t>
      </w:r>
      <w:r>
        <w:fldChar w:fldCharType="begin"/>
      </w:r>
      <w:r w:rsidR="00A95B7C">
        <w:instrText xml:space="preserve"> ADDIN ZOTERO_ITEM CSL_CITATION {"citationID":"oWlqAdU4","properties":{"formattedCitation":"nPerf, \\uc0\\u8216{}3G / 4G / 5G Coverage in The Gambia - Gamcell\\uc0\\u8217{} (2024) &lt;https://www.nperf.com/en/map/GM/-/207889.Gamcel-Mobile/signal?ll=13.364736013904439&amp;lg=-16.868476867675785&amp;zoom=12&gt;.","plainCitation":"nPerf, ‘3G / 4G / 5G Coverage in The Gambia - Gamcell’ (2024) &lt;https://www.nperf.com/en/map/GM/-/207889.Gamcel-Mobile/signal?ll=13.364736013904439&amp;lg=-16.868476867675785&amp;zoom=12&gt;.","noteIndex":80},"citationItems":[{"id":3330,"uris":["http://zotero.org/groups/5638933/items/E9ZCJ5P8"],"itemData":{"id":3330,"type":"webpage","title":"3G / 4G / 5G coverage in The Gambia - Gamcell","URL":"https://www.nperf.com/en/map/GM/-/207889.Gamcel-Mobile/signal?ll=13.364736013904439&amp;lg=-16.868476867675785&amp;zoom=12","author":[{"literal":"nPerf"}],"issued":{"date-parts":[["2024"]]}}}],"schema":"https://github.com/citation-style-language/schema/raw/master/csl-citation.json"} </w:instrText>
      </w:r>
      <w:r>
        <w:fldChar w:fldCharType="separate"/>
      </w:r>
      <w:r w:rsidRPr="00256BF8">
        <w:t>nPerf, ‘3G / 4G / 5G Coverage in The Gambia - Gamcell’ (2024) &lt;https://www.nperf.com/en/map/GM/-/207889.Gamcel-Mobile/signal?ll=13.364736013904439&amp;lg=-16.868476867675785&amp;zoom=12&gt;.</w:t>
      </w:r>
      <w:r>
        <w:fldChar w:fldCharType="end"/>
      </w:r>
    </w:p>
  </w:footnote>
  <w:footnote w:id="82">
    <w:p w14:paraId="0A78D0C4" w14:textId="5B952A61" w:rsidR="005537E2" w:rsidRDefault="005537E2">
      <w:pPr>
        <w:pStyle w:val="FootnoteText"/>
      </w:pPr>
      <w:r w:rsidRPr="0045782B">
        <w:rPr>
          <w:rStyle w:val="FootnoteReference"/>
        </w:rPr>
        <w:footnoteRef/>
      </w:r>
      <w:r>
        <w:t xml:space="preserve"> </w:t>
      </w:r>
      <w:r>
        <w:fldChar w:fldCharType="begin"/>
      </w:r>
      <w:r w:rsidR="00A95B7C">
        <w:instrText xml:space="preserve"> ADDIN ZOTERO_ITEM CSL_CITATION {"citationID":"dNbYNRtx","properties":{"formattedCitation":"nPerf, \\uc0\\u8216{}3G / 4G / 5G Coverage in The Gambia - Africell\\uc0\\u8217{} (2024) &lt;https://www.nperf.com/en/map/GM/-/207891.Africell-Mobile/signal?ll=13.377762636948479&amp;lg=-16.831054687500004&amp;zoom=12&gt;.","plainCitation":"nPerf, ‘3G / 4G / 5G Coverage in The Gambia - Africell’ (2024) &lt;https://www.nperf.com/en/map/GM/-/207891.Africell-Mobile/signal?ll=13.377762636948479&amp;lg=-16.831054687500004&amp;zoom=12&gt;.","noteIndex":81},"citationItems":[{"id":3331,"uris":["http://zotero.org/groups/5638933/items/S4NPUGKP"],"itemData":{"id":3331,"type":"webpage","title":"3G / 4G / 5G coverage in The Gambia - Africell","URL":"https://www.nperf.com/en/map/GM/-/207891.Africell-Mobile/signal?ll=13.377762636948479&amp;lg=-16.831054687500004&amp;zoom=12","author":[{"literal":"nPerf"}],"issued":{"date-parts":[["2024"]]}}}],"schema":"https://github.com/citation-style-language/schema/raw/master/csl-citation.json"} </w:instrText>
      </w:r>
      <w:r>
        <w:fldChar w:fldCharType="separate"/>
      </w:r>
      <w:r w:rsidRPr="005537E2">
        <w:t>nPerf, ‘3G / 4G / 5G Coverage in The Gambia - Africell’ (2024) &lt;https://www.nperf.com/en/map/GM/-/207891.Africell-Mobile/signal?ll=13.377762636948479&amp;lg=-16.831054687500004&amp;zoom=12&gt;.</w:t>
      </w:r>
      <w:r>
        <w:fldChar w:fldCharType="end"/>
      </w:r>
    </w:p>
  </w:footnote>
  <w:footnote w:id="83">
    <w:p w14:paraId="5469E0CD" w14:textId="6BA5CEEE" w:rsidR="00F978AD" w:rsidRDefault="00F978AD">
      <w:pPr>
        <w:pStyle w:val="FootnoteText"/>
      </w:pPr>
      <w:r w:rsidRPr="0045782B">
        <w:rPr>
          <w:rStyle w:val="FootnoteReference"/>
        </w:rPr>
        <w:footnoteRef/>
      </w:r>
      <w:r>
        <w:t xml:space="preserve"> </w:t>
      </w:r>
      <w:r>
        <w:fldChar w:fldCharType="begin"/>
      </w:r>
      <w:r w:rsidR="00A95B7C">
        <w:instrText xml:space="preserve"> ADDIN ZOTERO_ITEM CSL_CITATION {"citationID":"LHEZggrG","properties":{"formattedCitation":"nPerf, \\uc0\\u8216{}3G / 4G / 5G Coverage in The Gambia - Qcell\\uc0\\u8217{} (2024) &lt;https://www.nperf.com/en/map/GM/-/207895.QCell-Mobile/signal?ll=13.444220836678824&amp;lg=-16.86710357666016&amp;zoom=12&gt;.","plainCitation":"nPerf, ‘3G / 4G / 5G Coverage in The Gambia - Qcell’ (2024) &lt;https://www.nperf.com/en/map/GM/-/207895.QCell-Mobile/signal?ll=13.444220836678824&amp;lg=-16.86710357666016&amp;zoom=12&gt;.","noteIndex":82},"citationItems":[{"id":3332,"uris":["http://zotero.org/groups/5638933/items/ALLPMPW9"],"itemData":{"id":3332,"type":"webpage","title":"3G / 4G / 5G coverage in The Gambia - Qcell","URL":"https://www.nperf.com/en/map/GM/-/207895.QCell-Mobile/signal?ll=13.444220836678824&amp;lg=-16.86710357666016&amp;zoom=12","author":[{"literal":"nPerf"}],"issued":{"date-parts":[["2024"]]}}}],"schema":"https://github.com/citation-style-language/schema/raw/master/csl-citation.json"} </w:instrText>
      </w:r>
      <w:r>
        <w:fldChar w:fldCharType="separate"/>
      </w:r>
      <w:r w:rsidRPr="00F978AD">
        <w:t>nPerf, ‘3G / 4G / 5G Coverage in The Gambia - Qcell’ (2024) &lt;https://www.nperf.com/en/map/GM/-/207895.QCell-Mobile/signal?ll=13.444220836678824&amp;lg=-16.86710357666016&amp;zoom=12&gt;.</w:t>
      </w:r>
      <w:r>
        <w:fldChar w:fldCharType="end"/>
      </w:r>
    </w:p>
  </w:footnote>
  <w:footnote w:id="84">
    <w:p w14:paraId="1542FC95" w14:textId="49A1D511" w:rsidR="00181682" w:rsidRDefault="00181682">
      <w:pPr>
        <w:pStyle w:val="FootnoteText"/>
      </w:pPr>
      <w:r w:rsidRPr="0045782B">
        <w:rPr>
          <w:rStyle w:val="FootnoteReference"/>
        </w:rPr>
        <w:footnoteRef/>
      </w:r>
      <w:r>
        <w:t xml:space="preserve"> </w:t>
      </w:r>
      <w:r>
        <w:fldChar w:fldCharType="begin"/>
      </w:r>
      <w:r w:rsidR="00A95B7C">
        <w:instrText xml:space="preserve"> ADDIN ZOTERO_ITEM CSL_CITATION {"citationID":"xLcVH9TE","properties":{"formattedCitation":"Telegeography, \\uc0\\u8216{}ACE Route\\uc0\\u8217{}, {\\i{}Submarine Cable Map} (2024) &lt;https://www.submarinecablemap.com/landing-point/banjul-gambia&gt;.","plainCitation":"Telegeography, ‘ACE Route’, Submarine Cable Map (2024) &lt;https://www.submarinecablemap.com/landing-point/banjul-gambia&gt;.","noteIndex":83},"citationItems":[{"id":3333,"uris":["http://zotero.org/groups/5638933/items/GKHZC9V7"],"itemData":{"id":3333,"type":"webpage","container-title":"Submarine Cable Map","title":"ACE Route","URL":"https://www.submarinecablemap.com/landing-point/banjul-gambia","author":[{"literal":"Telegeography"}],"issued":{"date-parts":[["2024"]]}}}],"schema":"https://github.com/citation-style-language/schema/raw/master/csl-citation.json"} </w:instrText>
      </w:r>
      <w:r>
        <w:fldChar w:fldCharType="separate"/>
      </w:r>
      <w:r w:rsidRPr="00181682">
        <w:t xml:space="preserve">Telegeography, ‘ACE Route’, </w:t>
      </w:r>
      <w:r w:rsidRPr="00181682">
        <w:rPr>
          <w:i/>
          <w:iCs/>
        </w:rPr>
        <w:t>Submarine Cable Map</w:t>
      </w:r>
      <w:r w:rsidRPr="00181682">
        <w:t xml:space="preserve"> (2024) &lt;https://www.submarinecablemap.com/landing-point/banjul-gambia&gt;.</w:t>
      </w:r>
      <w:r>
        <w:fldChar w:fldCharType="end"/>
      </w:r>
    </w:p>
  </w:footnote>
  <w:footnote w:id="85">
    <w:p w14:paraId="14BF03AD" w14:textId="5BE9009E" w:rsidR="001A33C5" w:rsidRDefault="001A33C5">
      <w:pPr>
        <w:pStyle w:val="FootnoteText"/>
      </w:pPr>
      <w:r w:rsidRPr="0045782B">
        <w:rPr>
          <w:rStyle w:val="FootnoteReference"/>
        </w:rPr>
        <w:footnoteRef/>
      </w:r>
      <w:r>
        <w:t xml:space="preserve"> </w:t>
      </w:r>
      <w:r>
        <w:fldChar w:fldCharType="begin"/>
      </w:r>
      <w:r w:rsidR="00A95B7C">
        <w:instrText xml:space="preserve"> ADDIN ZOTERO_ITEM CSL_CITATION {"citationID":"qRPIu3nZ","properties":{"formattedCitation":"The Gambia Submarine Cable Company Ltd, \\uc0\\u8216{}The Gambia Submarine Cable Company Ltd\\uc0\\u8217{} (2024) &lt;http://gsc.gm/&gt;.","plainCitation":"The Gambia Submarine Cable Company Ltd, ‘The Gambia Submarine Cable Company Ltd’ (2024) &lt;http://gsc.gm/&gt;.","noteIndex":84},"citationItems":[{"id":3334,"uris":["http://zotero.org/groups/5638933/items/XPBKGMKP"],"itemData":{"id":3334,"type":"webpage","abstract":"The Gambia Submarine cable (GSC) is a public-private partnership to bring the first high speed fiber optic submarine cable in Gambia.","language":"en-US","title":"The Gambia Submarine Cable Company Ltd","URL":"http://gsc.gm/","author":[{"literal":"The Gambia Submarine Cable Company Ltd"}],"issued":{"date-parts":[["2024"]]}}}],"schema":"https://github.com/citation-style-language/schema/raw/master/csl-citation.json"} </w:instrText>
      </w:r>
      <w:r>
        <w:fldChar w:fldCharType="separate"/>
      </w:r>
      <w:r w:rsidRPr="001A33C5">
        <w:t>The Gambia Submarine Cable Company Ltd, ‘The Gambia Submarine Cable Company Ltd’ (2024) &lt;http://gsc.gm/&gt;.</w:t>
      </w:r>
      <w:r>
        <w:fldChar w:fldCharType="end"/>
      </w:r>
    </w:p>
  </w:footnote>
  <w:footnote w:id="86">
    <w:p w14:paraId="68C31D40" w14:textId="258F2980" w:rsidR="00BC0F4D" w:rsidRDefault="00BC0F4D">
      <w:pPr>
        <w:pStyle w:val="FootnoteText"/>
      </w:pPr>
      <w:r w:rsidRPr="0045782B">
        <w:rPr>
          <w:rStyle w:val="FootnoteReference"/>
        </w:rPr>
        <w:footnoteRef/>
      </w:r>
      <w:r>
        <w:t xml:space="preserve"> </w:t>
      </w:r>
      <w:r>
        <w:fldChar w:fldCharType="begin"/>
      </w:r>
      <w:r w:rsidR="00040AA7">
        <w:instrText xml:space="preserve"> ADDIN ZOTERO_ITEM CSL_CITATION {"citationID":"BaugwxXa","properties":{"formattedCitation":"Scharon Harding (n 58).","plainCitation":"Scharon Harding (n 58).","noteIndex":85},"citationItems":[{"id":3323,"uris":["http://zotero.org/groups/5638933/items/K7925VG2"],"itemData":{"id":3323,"type":"webpage","abstract":"Parts of Africa were already seeing web disruptions from damaged Red Sea cables.","container-title":"Ars Technica","language":"en-US","title":"Cut submarine cables cause web outages across Africa; 6 countries still affected","URL":"https://arstechnica.com/information-technology/2024/03/internet-outages-hit-13-countries-in-africa-due-to-undersea-cable-damage/","author":[{"literal":"Scharon Harding"}],"accessed":{"date-parts":[["2024",10,13]]},"issued":{"date-parts":[["2024",3,15]]}}}],"schema":"https://github.com/citation-style-language/schema/raw/master/csl-citation.json"} </w:instrText>
      </w:r>
      <w:r>
        <w:fldChar w:fldCharType="separate"/>
      </w:r>
      <w:r w:rsidR="00040AA7" w:rsidRPr="00040AA7">
        <w:t>Scharon Harding (n 58).</w:t>
      </w:r>
      <w:r>
        <w:fldChar w:fldCharType="end"/>
      </w:r>
    </w:p>
  </w:footnote>
  <w:footnote w:id="87">
    <w:p w14:paraId="6C9D817C" w14:textId="45E18E95" w:rsidR="00006955" w:rsidRDefault="00006955">
      <w:pPr>
        <w:pStyle w:val="FootnoteText"/>
      </w:pPr>
      <w:r w:rsidRPr="0045782B">
        <w:rPr>
          <w:rStyle w:val="FootnoteReference"/>
        </w:rPr>
        <w:footnoteRef/>
      </w:r>
      <w:r>
        <w:t xml:space="preserve"> </w:t>
      </w:r>
      <w:r>
        <w:fldChar w:fldCharType="begin"/>
      </w:r>
      <w:r w:rsidR="00A95B7C">
        <w:instrText xml:space="preserve"> ADDIN ZOTERO_ITEM CSL_CITATION {"citationID":"ZFs6BH19","properties":{"formattedCitation":"Ifeoma Joy Okorie, \\uc0\\u8216{}Gambia and Guinea Plan to Have New Subsea Cable\\uc0\\u8217{} (Techpoint Africa, 27 April 2024) &lt;https://techpoint.africa/2024/04/27/gambia-guinea-plan-subsea-cable/&gt;.","plainCitation":"Ifeoma Joy Okorie, ‘Gambia and Guinea Plan to Have New Subsea Cable’ (Techpoint Africa, 27 April 2024) &lt;https://techpoint.africa/2024/04/27/gambia-guinea-plan-subsea-cable/&gt;.","noteIndex":86},"citationItems":[{"id":3341,"uris":["http://zotero.org/groups/5638933/items/NJCNCPHR"],"itemData":{"id":3341,"type":"post-weblog","abstract":"Guinea and Gambia have reportedly signed a Memorandum of Understanding (MoU) to establish a second subsea optical fibre cable. They plan to collaborate on a feasibility study for the development.","genre":"Techpoint Africa","language":"en-US","note":"section: News","title":"Gambia and Guinea plan to have new subsea cable","URL":"https://techpoint.africa/2024/04/27/gambia-guinea-plan-subsea-cable/","author":[{"literal":"Ifeoma Joy Okorie"}],"accessed":{"date-parts":[["2024",10,22]]},"issued":{"date-parts":[["2024",4,27]]}}}],"schema":"https://github.com/citation-style-language/schema/raw/master/csl-citation.json"} </w:instrText>
      </w:r>
      <w:r>
        <w:fldChar w:fldCharType="separate"/>
      </w:r>
      <w:r w:rsidRPr="00006955">
        <w:t>Ifeoma Joy Okorie, ‘Gambia and Guinea Plan to Have New Subsea Cable’ (Techpoint Africa, 27 April 2024) &lt;https://techpoint.africa/2024/04/27/gambia-guinea-plan-subsea-cable/&gt;.</w:t>
      </w:r>
      <w:r>
        <w:fldChar w:fldCharType="end"/>
      </w:r>
    </w:p>
  </w:footnote>
  <w:footnote w:id="88">
    <w:p w14:paraId="22C56DB3" w14:textId="0CCD0477" w:rsidR="004877AB" w:rsidRPr="00DE1BD4" w:rsidRDefault="004877AB">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{"citationID":"SVoFF4w1","properties":{"formattedCitation":"\\uc0\\u8216{}Over USD 4.7 Billion Spent on 58 Satellite Projects in Africa | Space in Africa\\uc0\\u8217{} &lt;https://africanews.space/over-usd-4-7-billion-spent-on-58-satellite-projects-in-africa/&gt;.","plainCitation":"‘Over USD 4.7 Billion Spent on 58 Satellite Projects in Africa | Space in Africa’ &lt;https://africanews.space/over-usd-4-7-billion-spent-on-58-satellite-projects-in-africa/&gt;.","noteIndex":87},"citationItems":[{"id":2943,"uris":["http://zotero.org/groups/5420386/items/2I7YEFTC"],"itemData":{"id":2943,"type":"webpage","title":"Over USD 4.7 billion Spent on 58 Satellite Projects in Africa | Space in Africa","URL":"https://africanews.space/over-usd-4-7-billion-spent-on-58-satellite-projects-in-africa/","accessed":{"date-parts":[["2024",5,30]]}}}],"schema":"https://github.com/citation-style-language/schema/raw/master/csl-citation.json"} </w:instrText>
      </w:r>
      <w:r w:rsidRPr="00DE1BD4">
        <w:fldChar w:fldCharType="separate"/>
      </w:r>
      <w:r w:rsidRPr="00DE1BD4">
        <w:t>‘Over USD 4.7 Billion Spent on 58 Satellite Projects in Africa | Space in Africa’ &lt;https://africanews.space/over-usd-4-7-billion-spent-on-58-satellite-projects-in-africa/&gt;.</w:t>
      </w:r>
      <w:r w:rsidRPr="00DE1BD4">
        <w:fldChar w:fldCharType="end"/>
      </w:r>
    </w:p>
  </w:footnote>
  <w:footnote w:id="89">
    <w:p w14:paraId="077364F0" w14:textId="57DCB7B9" w:rsidR="0042134F" w:rsidRPr="00DE1BD4" w:rsidRDefault="0042134F" w:rsidP="0042134F">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{"citationID":"ZckBRzTH","properties":{"formattedCitation":"\\uc0\\u8216{}LEO Satellites: A Technology to Revolutionize Global Connectivity?\\uc0\\u8217{}, {\\i{}BCG Global} (28 May 2021) &lt;https://www.bcg.com/publications/2021/leo-satellites-unlock-connectivity-opportunity&gt; (\\uc0\\u8216{}{\\i{}LEO Satellites}\\uc0\\u8217{}).","plainCitation":"‘LEO Satellites: A Technology to Revolutionize Global Connectivity?’, BCG Global (28 May 2021) &lt;https://www.bcg.com/publications/2021/leo-satellites-unlock-connectivity-opportunity&gt; (‘LEO Satellites’).","noteIndex":88},"citationItems":[{"id":1779,"uris":["http://zotero.org/groups/4544658/items/HM73NWZU"],"itemData":{"id":1779,"type":"webpage","abstract":"By 2030, BCG estimates that the Middle East LEO satellite market will be valued at approximately $110 million. However, the overall economic value that this technology can unlock is far greater and LEO satellites can create the way for more technological disruptions in the future.","container-title":"BCG Global","language":"en","title":"LEO Satellites: A Technology to Revolutionize Global Connectivity?","title-short":"LEO Satellites","URL":"https://www.bcg.com/publications/2021/leo-satellites-unlock-connectivity-opportunity","accessed":{"date-parts":[["2022",10,9]]},"issued":{"date-parts":[["2021",5,28]]}}}],"schema":"https://github.com/citation-style-language/schema/raw/master/csl-citation.json"} </w:instrText>
      </w:r>
      <w:r w:rsidRPr="00DE1BD4">
        <w:fldChar w:fldCharType="separate"/>
      </w:r>
      <w:r w:rsidRPr="00DE1BD4">
        <w:rPr>
          <w:szCs w:val="24"/>
        </w:rPr>
        <w:t xml:space="preserve">‘LEO Satellites: A Technology to Revolutionize Global Connectivity?’, </w:t>
      </w:r>
      <w:r w:rsidRPr="00DE1BD4">
        <w:rPr>
          <w:i/>
          <w:iCs/>
          <w:szCs w:val="24"/>
        </w:rPr>
        <w:t>BCG Global</w:t>
      </w:r>
      <w:r w:rsidRPr="00DE1BD4">
        <w:rPr>
          <w:szCs w:val="24"/>
        </w:rPr>
        <w:t xml:space="preserve"> (28 May 2021) &lt;https://www.bcg.com/publications/2021/leo-satellites-unlock-connectivity-opportunity&gt; (‘</w:t>
      </w:r>
      <w:r w:rsidRPr="00DE1BD4">
        <w:rPr>
          <w:i/>
          <w:iCs/>
          <w:szCs w:val="24"/>
        </w:rPr>
        <w:t>LEO Satellites</w:t>
      </w:r>
      <w:r w:rsidRPr="00DE1BD4">
        <w:rPr>
          <w:szCs w:val="24"/>
        </w:rPr>
        <w:t>’).</w:t>
      </w:r>
      <w:r w:rsidRPr="00DE1BD4">
        <w:fldChar w:fldCharType="end"/>
      </w:r>
    </w:p>
  </w:footnote>
  <w:footnote w:id="90">
    <w:p w14:paraId="70F3F48C" w14:textId="4727ED69" w:rsidR="0042134F" w:rsidRPr="00DE1BD4" w:rsidRDefault="0042134F" w:rsidP="0042134F">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{"citationID":"aEWu5zy6","properties":{"formattedCitation":"Kirsty Needham, \\uc0\\u8216{}Musk\\uc0\\u8217{}s Starlink Connects Remote Tonga Villages Still Cut off after Tsunami\\uc0\\u8217{}, {\\i{}Reuters} (online, 23 February 2022) &lt;https://www.reuters.com/world/asia-pacific/musks-starlink-connects-remote-tonga-villages-still-cut-off-after-tsunami-2022-02-23/&gt;.","plainCitation":"Kirsty Needham, ‘Musk’s Starlink Connects Remote Tonga Villages Still Cut off after Tsunami’, Reuters (online, 23 February 2022) &lt;https://www.reuters.com/world/asia-pacific/musks-starlink-connects-remote-tonga-villages-still-cut-off-after-tsunami-2022-02-23/&gt;.","noteIndex":89},"citationItems":[{"id":1778,"uris":["http://zotero.org/groups/4544658/items/ZBCEEDF3"],"itemData":{"id":1778,"type":"article-newspaper","abstract":"Elon Musk's satellite venture has launched a free high-speed internet service to connect remote villages in Tonga that have been cut off since a devastating volcanic eruption and tsunami in January.","container-title":"Reuters","language":"en","section":"Asia Pacific","source":"www.reuters.com","title":"Musk's Starlink connects remote Tonga villages still cut off after tsunami","URL":"https://www.reuters.com/world/asia-pacific/musks-starlink-connects-remote-tonga-villages-still-cut-off-after-tsunami-2022-02-23/","author":[{"family":"Needham","given":"Kirsty"}],"accessed":{"date-parts":[["2022",10,9]]},"issued":{"date-parts":[["2022",2,23]]}}}],"schema":"https://github.com/citation-style-language/schema/raw/master/csl-citation.json"} </w:instrText>
      </w:r>
      <w:r w:rsidRPr="00DE1BD4">
        <w:fldChar w:fldCharType="separate"/>
      </w:r>
      <w:r w:rsidRPr="00DE1BD4">
        <w:rPr>
          <w:szCs w:val="24"/>
        </w:rPr>
        <w:t xml:space="preserve">Kirsty Needham, ‘Musk’s Starlink Connects Remote Tonga Villages Still Cut off after Tsunami’, </w:t>
      </w:r>
      <w:r w:rsidRPr="00DE1BD4">
        <w:rPr>
          <w:i/>
          <w:iCs/>
          <w:szCs w:val="24"/>
        </w:rPr>
        <w:t>Reuters</w:t>
      </w:r>
      <w:r w:rsidRPr="00DE1BD4">
        <w:rPr>
          <w:szCs w:val="24"/>
        </w:rPr>
        <w:t xml:space="preserve"> (online, 23 February 2022) &lt;https://www.reuters.com/world/asia-pacific/musks-starlink-connects-remote-tonga-villages-still-cut-off-after-tsunami-2022-02-23/&gt;.</w:t>
      </w:r>
      <w:r w:rsidRPr="00DE1BD4">
        <w:fldChar w:fldCharType="end"/>
      </w:r>
    </w:p>
  </w:footnote>
  <w:footnote w:id="91">
    <w:p w14:paraId="59F982E3" w14:textId="7E344481" w:rsidR="0042134F" w:rsidRDefault="0042134F" w:rsidP="0042134F">
      <w:pPr>
        <w:pStyle w:val="FootnoteText"/>
      </w:pPr>
      <w:r w:rsidRPr="0045782B">
        <w:rPr>
          <w:rStyle w:val="FootnoteReference"/>
        </w:rPr>
        <w:footnoteRef/>
      </w:r>
      <w:r>
        <w:t xml:space="preserve"> </w:t>
      </w:r>
      <w:r>
        <w:fldChar w:fldCharType="begin"/>
      </w:r>
      <w:r w:rsidR="00A95B7C">
        <w:instrText xml:space="preserve"> ADDIN ZOTERO_ITEM CSL_CITATION {"citationID":"rza8zCbH","properties":{"formattedCitation":"Samantha Mathewson, \\uc0\\u8216{}SpaceX Makes Starlink Internet Service Free for People Hit by Hurricanes Helene and Milton\\uc0\\u8217{}, {\\i{}Space.com} (15 October 2024) &lt;https://www.space.com/spacex-starlink-free-2024-hurricane-helene-milton&gt;.","plainCitation":"Samantha Mathewson, ‘SpaceX Makes Starlink Internet Service Free for People Hit by Hurricanes Helene and Milton’, Space.com (15 October 2024) &lt;https://www.space.com/spacex-starlink-free-2024-hurricane-helene-milton&gt;.","noteIndex":90},"citationItems":[{"id":3340,"uris":["http://zotero.org/groups/5638933/items/4KBANLRH"],"itemData":{"id":3340,"type":"webpage","abstract":"A Starlink receiver is required to access the satellite internet service.","container-title":"Space.com","language":"en","title":"SpaceX makes Starlink internet service free for people hit by hurricanes Helene and Milton","URL":"https://www.space.com/spacex-starlink-free-2024-hurricane-helene-milton","author":[{"literal":"Samantha Mathewson"}],"accessed":{"date-parts":[["2024",10,22]]},"issued":{"date-parts":[["2024",10,15]]}}}],"schema":"https://github.com/citation-style-language/schema/raw/master/csl-citation.json"} </w:instrText>
      </w:r>
      <w:r>
        <w:fldChar w:fldCharType="separate"/>
      </w:r>
      <w:r w:rsidRPr="00520E6A">
        <w:t xml:space="preserve">Samantha Mathewson, ‘SpaceX Makes Starlink Internet Service Free for People Hit by Hurricanes Helene and Milton’, </w:t>
      </w:r>
      <w:r w:rsidRPr="00520E6A">
        <w:rPr>
          <w:i/>
          <w:iCs/>
        </w:rPr>
        <w:t>Space.com</w:t>
      </w:r>
      <w:r w:rsidRPr="00520E6A">
        <w:t xml:space="preserve"> (15 October 2024) &lt;https://www.space.com/spacex-starlink-free-2024-hurricane-helene-milton&gt;.</w:t>
      </w:r>
      <w:r>
        <w:fldChar w:fldCharType="end"/>
      </w:r>
    </w:p>
  </w:footnote>
  <w:footnote w:id="92">
    <w:p w14:paraId="31EAF5AC" w14:textId="6D8A15B9" w:rsidR="001C3B5D" w:rsidRDefault="001C3B5D">
      <w:pPr>
        <w:pStyle w:val="FootnoteText"/>
      </w:pPr>
      <w:r w:rsidRPr="0045782B">
        <w:rPr>
          <w:rStyle w:val="FootnoteReference"/>
        </w:rPr>
        <w:footnoteRef/>
      </w:r>
      <w:r>
        <w:t xml:space="preserve"> </w:t>
      </w:r>
      <w:r>
        <w:fldChar w:fldCharType="begin"/>
      </w:r>
      <w:r w:rsidR="00A95B7C">
        <w:instrText xml:space="preserve"> ADDIN ZOTERO_ITEM CSL_CITATION {"citationID":"M2IEsWSr","properties":{"formattedCitation":"Paula Gilbert, \\uc0\\u8216{}Eutelsat OneWeb Signs Satellite Deal with Paratus South Africa\\uc0\\u8217{}, {\\i{}Connecting Africa} (23 January 2024) &lt;https://www.connectingafrica.com/connectivity/eutelsat-oneweb-signs-satellite-deal-with-paratus-south-africa&gt;.","plainCitation":"Paula Gilbert, ‘Eutelsat OneWeb Signs Satellite Deal with Paratus South Africa’, Connecting Africa (23 January 2024) &lt;https://www.connectingafrica.com/connectivity/eutelsat-oneweb-signs-satellite-deal-with-paratus-south-africa&gt;.","noteIndex":91},"citationItems":[{"id":3339,"uris":["http://zotero.org/groups/5638933/items/N79MFY4R"],"itemData":{"id":3339,"type":"webpage","container-title":"Connecting Africa","title":"Eutelsat OneWeb signs satellite deal with Paratus South Africa","URL":"https://www.connectingafrica.com/connectivity/eutelsat-oneweb-signs-satellite-deal-with-paratus-south-africa","author":[{"literal":"Paula Gilbert"}],"issued":{"date-parts":[["2024",1,23]]}}}],"schema":"https://github.com/citation-style-language/schema/raw/master/csl-citation.json"} </w:instrText>
      </w:r>
      <w:r>
        <w:fldChar w:fldCharType="separate"/>
      </w:r>
      <w:r w:rsidRPr="001C3B5D">
        <w:t xml:space="preserve">Paula Gilbert, ‘Eutelsat OneWeb Signs Satellite Deal with Paratus South Africa’, </w:t>
      </w:r>
      <w:r w:rsidRPr="001C3B5D">
        <w:rPr>
          <w:i/>
          <w:iCs/>
        </w:rPr>
        <w:t>Connecting Africa</w:t>
      </w:r>
      <w:r w:rsidRPr="001C3B5D">
        <w:t xml:space="preserve"> (23 January 2024) &lt;https://www.connectingafrica.com/connectivity/eutelsat-oneweb-signs-satellite-deal-with-paratus-south-africa&gt;.</w:t>
      </w:r>
      <w:r>
        <w:fldChar w:fldCharType="end"/>
      </w:r>
    </w:p>
  </w:footnote>
  <w:footnote w:id="93">
    <w:p w14:paraId="0F37345C" w14:textId="54ED55E0" w:rsidR="00F40411" w:rsidRPr="00DE1BD4" w:rsidRDefault="00F40411">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{"citationID":"SPk0g5R4","properties":{"formattedCitation":"\\uc0\\u8216{}Project Kuiper\\uc0\\u8217{}, {\\i{}US About Amazon} &lt;https://www.aboutamazon.com/what-we-do/devices-services/project-kuiper&gt;.","plainCitation":"‘Project Kuiper’, US About Amazon &lt;https://www.aboutamazon.com/what-we-do/devices-services/project-kuiper&gt;.","noteIndex":92},"citationItems":[{"id":2941,"uris":["http://zotero.org/groups/5420386/items/V7BMW6CN"],"itemData":{"id":2941,"type":"webpage","abstract":"Project Kuiper is an initiative to increase global broadband access through a constellation of 3,236 satellites in low Earth orbit (LEO). Its mission is to bring fast, affordable broadband to unserved and underserved communities around the world.","container-title":"US About Amazon","language":"en","title":"Project Kuiper","URL":"https://www.aboutamazon.com/what-we-do/devices-services/project-kuiper","accessed":{"date-parts":[["2024",5,30]]}}}],"schema":"https://github.com/citation-style-language/schema/raw/master/csl-citation.json"} </w:instrText>
      </w:r>
      <w:r w:rsidRPr="00DE1BD4">
        <w:fldChar w:fldCharType="separate"/>
      </w:r>
      <w:r w:rsidRPr="00DE1BD4">
        <w:t xml:space="preserve">‘Project Kuiper’, </w:t>
      </w:r>
      <w:r w:rsidRPr="00DE1BD4">
        <w:rPr>
          <w:i/>
          <w:iCs/>
        </w:rPr>
        <w:t>US About Amazon</w:t>
      </w:r>
      <w:r w:rsidRPr="00DE1BD4">
        <w:t xml:space="preserve"> &lt;https://www.aboutamazon.com/what-we-do/devices-services/project-kuiper&gt;.</w:t>
      </w:r>
      <w:r w:rsidRPr="00DE1BD4">
        <w:fldChar w:fldCharType="end"/>
      </w:r>
    </w:p>
  </w:footnote>
  <w:footnote w:id="94">
    <w:p w14:paraId="06CAC3F5" w14:textId="34B36737" w:rsidR="00581D87" w:rsidRPr="00DE1BD4" w:rsidRDefault="00581D87" w:rsidP="00581D87">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{"citationID":"m4PKqUOE","properties":{"formattedCitation":"Michael Sheetz, \\uc0\\u8216{}Telesat to Build a $5 Billion Global Satellite Network to Bring Fiber-like Internet to Businesses\\uc0\\u8217{}, {\\i{}CNBC} &lt;https://www.cnbc.com/2021/02/09/telesat-building-5-billion-lightspeed-global-satellite-internet.html&gt;.","plainCitation":"Michael Sheetz, ‘Telesat to Build a $5 Billion Global Satellite Network to Bring Fiber-like Internet to Businesses’, CNBC &lt;https://www.cnbc.com/2021/02/09/telesat-building-5-billion-lightspeed-global-satellite-internet.html&gt;.","noteIndex":93},"citationItems":[{"id":1537,"uris":["http://zotero.org/groups/4544658/items/I9ULKMML"],"itemData":{"id":1537,"type":"webpage","abstract":"Canadian satellite operator Telesat announced on Tuesday that Thales Alenia Space will build its next-generation broadband satellite network called Lightspeed.","container-title":"CNBC","language":"en","title":"Telesat to build a $5 billion global satellite network to bring fiber-like internet to businesses","URL":"https://www.cnbc.com/2021/02/09/telesat-building-5-billion-lightspeed-global-satellite-internet.html","author":[{"family":"Sheetz","given":"Michael"}],"accessed":{"date-parts":[["2022",8,2]]}}}],"schema":"https://github.com/citation-style-language/schema/raw/master/csl-citation.json"} </w:instrText>
      </w:r>
      <w:r w:rsidRPr="00DE1BD4">
        <w:fldChar w:fldCharType="separate"/>
      </w:r>
      <w:r w:rsidRPr="00DE1BD4">
        <w:rPr>
          <w:szCs w:val="24"/>
        </w:rPr>
        <w:t xml:space="preserve">Michael Sheetz, ‘Telesat to Build a $5 Billion Global Satellite Network to Bring Fiber-like Internet to Businesses’, </w:t>
      </w:r>
      <w:r w:rsidRPr="00DE1BD4">
        <w:rPr>
          <w:i/>
          <w:iCs/>
          <w:szCs w:val="24"/>
        </w:rPr>
        <w:t>CNBC</w:t>
      </w:r>
      <w:r w:rsidRPr="00DE1BD4">
        <w:rPr>
          <w:szCs w:val="24"/>
        </w:rPr>
        <w:t xml:space="preserve"> &lt;https://www.cnbc.com/2021/02/09/telesat-building-5-billion-lightspeed-global-satellite-internet.html&gt;.</w:t>
      </w:r>
      <w:r w:rsidRPr="00DE1BD4">
        <w:fldChar w:fldCharType="end"/>
      </w:r>
    </w:p>
  </w:footnote>
  <w:footnote w:id="95">
    <w:p w14:paraId="2BCC4381" w14:textId="32B2DEB3" w:rsidR="00581D87" w:rsidRPr="00DE1BD4" w:rsidRDefault="00581D87" w:rsidP="00581D87">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{"citationID":"zH2rZaJM","properties":{"formattedCitation":"Michael Sheetz, \\uc0\\u8216{}Lockheed Martin Partners with Satellite Start-up Omnispace to Build a Space-Based 5G Network\\uc0\\u8217{}, {\\i{}CNBC} &lt;https://www.cnbc.com/2021/03/23/lockheed-martin-partners-with-omnispace-for-satellite-5g-network.html&gt;.","plainCitation":"Michael Sheetz, ‘Lockheed Martin Partners with Satellite Start-up Omnispace to Build a Space-Based 5G Network’, CNBC &lt;https://www.cnbc.com/2021/03/23/lockheed-martin-partners-with-omnispace-for-satellite-5g-network.html&gt;.","noteIndex":94},"citationItems":[{"id":1536,"uris":["http://zotero.org/groups/4544658/items/D7Z2WF54"],"itemData":{"id":1536,"type":"webpage","abstract":"Lockheed Martin announced a strategic interest agreement with satellite start-up Omnispace, \"to explore jointly developing 5G capability from space.\"","container-title":"CNBC","language":"en","title":"Lockheed Martin partners with satellite start-up Omnispace to build a space-based 5G network","URL":"https://www.cnbc.com/2021/03/23/lockheed-martin-partners-with-omnispace-for-satellite-5g-network.html","author":[{"family":"Sheetz","given":"Michael"}],"accessed":{"date-parts":[["2022",8,2]]}}}],"schema":"https://github.com/citation-style-language/schema/raw/master/csl-citation.json"} </w:instrText>
      </w:r>
      <w:r w:rsidRPr="00DE1BD4">
        <w:fldChar w:fldCharType="separate"/>
      </w:r>
      <w:r w:rsidRPr="00DE1BD4">
        <w:rPr>
          <w:szCs w:val="24"/>
        </w:rPr>
        <w:t xml:space="preserve">Michael Sheetz, ‘Lockheed Martin Partners with Satellite Start-up Omnispace to Build a Space-Based 5G Network’, </w:t>
      </w:r>
      <w:r w:rsidRPr="00DE1BD4">
        <w:rPr>
          <w:i/>
          <w:iCs/>
          <w:szCs w:val="24"/>
        </w:rPr>
        <w:t>CNBC</w:t>
      </w:r>
      <w:r w:rsidRPr="00DE1BD4">
        <w:rPr>
          <w:szCs w:val="24"/>
        </w:rPr>
        <w:t xml:space="preserve"> &lt;https://www.cnbc.com/2021/03/23/lockheed-martin-partners-with-omnispace-for-satellite-5g-network.html&gt;.</w:t>
      </w:r>
      <w:r w:rsidRPr="00DE1BD4">
        <w:fldChar w:fldCharType="end"/>
      </w:r>
    </w:p>
  </w:footnote>
  <w:footnote w:id="96">
    <w:p w14:paraId="67B7E253" w14:textId="08C36DB8" w:rsidR="00D20A3E" w:rsidRPr="00DE1BD4" w:rsidRDefault="00D20A3E">
      <w:pPr>
        <w:pStyle w:val="FootnoteText"/>
      </w:pPr>
      <w:r w:rsidRPr="0045782B">
        <w:rPr>
          <w:rStyle w:val="FootnoteReference"/>
        </w:rPr>
        <w:footnoteRef/>
      </w:r>
      <w:r w:rsidRPr="00DE1BD4">
        <w:t xml:space="preserve"> </w:t>
      </w:r>
      <w:r w:rsidRPr="00DE1BD4">
        <w:fldChar w:fldCharType="begin"/>
      </w:r>
      <w:r w:rsidR="00040AA7">
        <w:instrText xml:space="preserve"> ADDIN ZOTERO_ITEM CSL_CITATION {"citationID":"Hgc4cAhp","properties":{"formattedCitation":"Communications Regulators\\uc0\\u8217{} Association of Southern Africa, {\\i{}FRAMEWORK FOR HARMONISATION OF RADIO FREQUENCY SPECTRUM FOR PPDR} (2020) &lt;https://assets-global.website-files.com/5fb8ce4adbd6ad2ccc1423e7/612fe537c77c6958fe306c18_2020%20FRAMEWORK%20FOR%20HARMONISATION%20OF%20RADIO%20FREQUENCY%20SPECTRUM%20FOR%20PPDR%20.pdf&gt;.","plainCitation":"Communications Regulators’ Association of Southern Africa, FRAMEWORK FOR HARMONISATION OF RADIO FREQUENCY SPECTRUM FOR PPDR (2020) &lt;https://assets-global.website-files.com/5fb8ce4adbd6ad2ccc1423e7/612fe537c77c6958fe306c18_2020%20FRAMEWORK%20FOR%20HARMONISATION%20OF%20RADIO%20FREQUENCY%20SPECTRUM%20FOR%20PPDR%20.pdf&gt;.","noteIndex":95},"citationItems":[{"id":2974,"uris":["http://zotero.org/groups/5420386/items/URZHQBYQ"],"itemData":{"id":2974,"type":"report","title":"FRAMEWORK FOR HARMONISATION OF RADIO FREQUENCY SPECTRUM FOR PPDR","URL":"https://assets-global.website-files.com/5fb8ce4adbd6ad2ccc1423e7/612fe537c77c6958fe306c18_2020%20FRAMEWORK%20FOR%20HARMONISATION%20OF%20RADIO%20FREQUENCY%20SPECTRUM%20FOR%20PPDR%20.pdf","author":[{"literal":"Communications Regulators' Association of Southern Africa"}],"accessed":{"date-parts":[["2024",6,2]]},"issued":{"date-parts":[["2020"]]}}}],"schema":"https://github.com/citation-style-language/schema/raw/master/csl-citation.json"} </w:instrText>
      </w:r>
      <w:r w:rsidRPr="00DE1BD4">
        <w:fldChar w:fldCharType="separate"/>
      </w:r>
      <w:r w:rsidR="004B405C" w:rsidRPr="004B405C">
        <w:t xml:space="preserve">Communications Regulators’ Association of Southern Africa, </w:t>
      </w:r>
      <w:r w:rsidR="004B405C" w:rsidRPr="004B405C">
        <w:rPr>
          <w:i/>
          <w:iCs/>
        </w:rPr>
        <w:t>FRAMEWORK FOR HARMONISATION OF RADIO FREQUENCY SPECTRUM FOR PPDR</w:t>
      </w:r>
      <w:r w:rsidR="004B405C" w:rsidRPr="004B405C">
        <w:t xml:space="preserve"> (2020) &lt;https://assets-global.website-files.com/5fb8ce4adbd6ad2ccc1423e7/612fe537c77c6958fe306c18_2020%20FRAMEWORK%20FOR%20HARMONISATION%20OF%20RADIO%20FREQUENCY%20SPECTRUM%20FOR%20PPDR%20.pdf&gt;.</w:t>
      </w:r>
      <w:r w:rsidRPr="00DE1BD4">
        <w:fldChar w:fldCharType="end"/>
      </w:r>
    </w:p>
  </w:footnote>
  <w:footnote w:id="97">
    <w:p w14:paraId="3BC983CF" w14:textId="41BCD901" w:rsidR="00793B19" w:rsidRPr="00DE1BD4" w:rsidRDefault="00793B19">
      <w:pPr>
        <w:pStyle w:val="FootnoteText"/>
      </w:pPr>
      <w:r w:rsidRPr="0045782B">
        <w:rPr>
          <w:rStyle w:val="FootnoteReference"/>
        </w:rPr>
        <w:footnoteRef/>
      </w:r>
      <w:r w:rsidRPr="00DE1BD4">
        <w:t xml:space="preserve"> </w:t>
      </w:r>
      <w:r w:rsidRPr="00DE1BD4">
        <w:fldChar w:fldCharType="begin"/>
      </w:r>
      <w:r w:rsidR="00040AA7">
        <w:instrText xml:space="preserve"> ADDIN ZOTERO_ITEM CSL_CITATION {"citationID":"Q3X0qZVG","properties":{"formattedCitation":"Ibid 4.","plainCitation":"Ibid 4.","noteIndex":96},"citationItems":[{"id":2974,"uris":["http://zotero.org/groups/5420386/items/URZHQBYQ"],"itemData":{"id":2974,"type":"report","title":"FRAMEWORK FOR HARMONISATION OF RADIO FREQUENCY SPECTRUM FOR PPDR","URL":"https://assets-global.website-files.com/5fb8ce4adbd6ad2ccc1423e7/612fe537c77c6958fe306c18_2020%20FRAMEWORK%20FOR%20HARMONISATION%20OF%20RADIO%20FREQUENCY%20SPECTRUM%20FOR%20PPDR%20.pdf","author":[{"literal":"Communications Regulators' Association of Southern Africa"}],"accessed":{"date-parts":[["2024",6,2]]},"issued":{"date-parts":[["2020"]]}},"locator":"4","label":"table"}],"schema":"https://github.com/citation-style-language/schema/raw/master/csl-citation.json"} </w:instrText>
      </w:r>
      <w:r w:rsidRPr="00DE1BD4">
        <w:fldChar w:fldCharType="separate"/>
      </w:r>
      <w:r w:rsidR="001C3B5D" w:rsidRPr="001C3B5D">
        <w:t>Ibid 4.</w:t>
      </w:r>
      <w:r w:rsidRPr="00DE1BD4">
        <w:fldChar w:fldCharType="end"/>
      </w:r>
    </w:p>
  </w:footnote>
  <w:footnote w:id="98">
    <w:p w14:paraId="1416BAD6" w14:textId="1346C098" w:rsidR="009D5EBE" w:rsidRDefault="009D5EBE">
      <w:pPr>
        <w:pStyle w:val="FootnoteText"/>
      </w:pPr>
      <w:r w:rsidRPr="0045782B">
        <w:rPr>
          <w:rStyle w:val="FootnoteReference"/>
        </w:rPr>
        <w:footnoteRef/>
      </w:r>
      <w:r>
        <w:t xml:space="preserve"> </w:t>
      </w:r>
      <w:r>
        <w:fldChar w:fldCharType="begin"/>
      </w:r>
      <w:r w:rsidR="00040AA7">
        <w:instrText xml:space="preserve"> ADDIN ZOTERO_ITEM CSL_CITATION {"citationID":"8i67zFbZ","properties":{"formattedCitation":"The Gambia Public Utilities Regulatory Authority, \\uc0\\u8216{}Broadcasting\\uc0\\u8217{}, {\\i{}Public Utilities Regulatory Authority} (2024) &lt;https://pura.gm/ict/sub-sectors/broadcasting/&gt;.","plainCitation":"The Gambia Public Utilities Regulatory Authority, ‘Broadcasting’, Public Utilities Regulatory Authority (2024) &lt;https://pura.gm/ict/sub-sectors/broadcasting/&gt;.","noteIndex":97},"citationItems":[{"id":3336,"uris":["http://zotero.org/groups/5638933/items/CSNEVZ9P"],"itemData":{"id":3336,"type":"webpage","abstract":"Broadcasting Overview The Broadcasting sector is subject to the framework of regulation in accordance with the PURA ACT 2001 and the Information and Communication Act 2009. All broadcasters require a license to broadcast.  The process of licensing is structured in the application guideline. The Sector covers Signal Distributor, Content TV Providers and FM Radio stations. […]","container-title":"Public Utilities Regulatory Authority","language":"en-US","title":"Broadcasting","URL":"https://pura.gm/ict/sub-sectors/broadcasting/","author":[{"literal":"The Gambia Public Utilities Regulatory Authority"}],"issued":{"date-parts":[["2024"]]}}}],"schema":"https://github.com/citation-style-language/schema/raw/master/csl-citation.json"} </w:instrText>
      </w:r>
      <w:r>
        <w:fldChar w:fldCharType="separate"/>
      </w:r>
      <w:r w:rsidRPr="009D5EBE">
        <w:t xml:space="preserve">The Gambia Public Utilities Regulatory Authority, ‘Broadcasting’, </w:t>
      </w:r>
      <w:r w:rsidRPr="009D5EBE">
        <w:rPr>
          <w:i/>
          <w:iCs/>
        </w:rPr>
        <w:t>Public Utilities Regulatory Authority</w:t>
      </w:r>
      <w:r w:rsidRPr="009D5EBE">
        <w:t xml:space="preserve"> (2024) &lt;https://pura.gm/ict/sub-sectors/broadcasting/&gt;.</w:t>
      </w:r>
      <w:r>
        <w:fldChar w:fldCharType="end"/>
      </w:r>
    </w:p>
  </w:footnote>
  <w:footnote w:id="99">
    <w:p w14:paraId="43F7BC62" w14:textId="3B34CABB" w:rsidR="00BC1EAE" w:rsidRDefault="00BC1EAE">
      <w:pPr>
        <w:pStyle w:val="FootnoteText"/>
      </w:pPr>
      <w:r w:rsidRPr="0045782B">
        <w:rPr>
          <w:rStyle w:val="FootnoteReference"/>
        </w:rPr>
        <w:footnoteRef/>
      </w:r>
      <w:r>
        <w:t xml:space="preserve"> </w:t>
      </w:r>
      <w:r>
        <w:fldChar w:fldCharType="begin"/>
      </w:r>
      <w:r w:rsidR="00040AA7">
        <w:instrText xml:space="preserve"> ADDIN ZOTERO_ITEM CSL_CITATION {"citationID":"IuNfTZfd","properties":{"formattedCitation":"UNESCO, {\\i{}Assessment of Media Development in the Gambia} (UNESCO, 2022) &lt;https://unesdoc.unesco.org/ark:/48223/pf0000383608&gt;.","plainCitation":"UNESCO, Assessment of Media Development in the Gambia (UNESCO, 2022) &lt;https://unesdoc.unesco.org/ark:/48223/pf0000383608&gt;.","noteIndex":98},"citationItems":[{"id":3337,"uris":["http://zotero.org/groups/5638933/items/INEU8WQT"],"itemData":{"id":3337,"type":"book","event-place":"France","publisher":"UNESCO","publisher-place":"France","title":"Assessment of Media Development in the Gambia","URL":"https://unesdoc.unesco.org/ark:/48223/pf0000383608","author":[{"literal":"UNESCO"}],"issued":{"date-parts":[["2022"]]}}}],"schema":"https://github.com/citation-style-language/schema/raw/master/csl-citation.json"} </w:instrText>
      </w:r>
      <w:r>
        <w:fldChar w:fldCharType="separate"/>
      </w:r>
      <w:r w:rsidRPr="00BC1EAE">
        <w:t xml:space="preserve">UNESCO, </w:t>
      </w:r>
      <w:r w:rsidRPr="00BC1EAE">
        <w:rPr>
          <w:i/>
          <w:iCs/>
        </w:rPr>
        <w:t>Assessment of Media Development in the Gambia</w:t>
      </w:r>
      <w:r w:rsidRPr="00BC1EAE">
        <w:t xml:space="preserve"> (UNESCO, 2022) &lt;https://unesdoc.unesco.org/ark:/48223/pf0000383608&gt;.</w:t>
      </w:r>
      <w:r>
        <w:fldChar w:fldCharType="end"/>
      </w:r>
    </w:p>
  </w:footnote>
  <w:footnote w:id="100">
    <w:p w14:paraId="2957CD42" w14:textId="5D8E3953" w:rsidR="002B7D5E" w:rsidRDefault="002B7D5E">
      <w:pPr>
        <w:pStyle w:val="FootnoteText"/>
      </w:pPr>
      <w:r w:rsidRPr="0045782B">
        <w:rPr>
          <w:rStyle w:val="FootnoteReference"/>
        </w:rPr>
        <w:footnoteRef/>
      </w:r>
      <w:r>
        <w:t xml:space="preserve"> </w:t>
      </w:r>
      <w:r>
        <w:fldChar w:fldCharType="begin"/>
      </w:r>
      <w:r w:rsidR="00040AA7">
        <w:instrText xml:space="preserve"> ADDIN ZOTERO_ITEM CSL_CITATION {"citationID":"83WxSEtW","properties":{"formattedCitation":"Ibid 84.","plainCitation":"Ibid 84.","noteIndex":99},"citationItems":[{"id":3337,"uris":["http://zotero.org/groups/5638933/items/INEU8WQT"],"itemData":{"id":3337,"type":"book","event-place":"France","publisher":"UNESCO","publisher-place":"France","title":"Assessment of Media Development in the Gambia","URL":"https://unesdoc.unesco.org/ark:/48223/pf0000383608","author":[{"literal":"UNESCO"}],"issued":{"date-parts":[["2022"]]}},"locator":"84","label":"page"}],"schema":"https://github.com/citation-style-language/schema/raw/master/csl-citation.json"} </w:instrText>
      </w:r>
      <w:r>
        <w:fldChar w:fldCharType="separate"/>
      </w:r>
      <w:r w:rsidRPr="002B7D5E">
        <w:t>Ibid 84.</w:t>
      </w:r>
      <w:r>
        <w:fldChar w:fldCharType="end"/>
      </w:r>
    </w:p>
  </w:footnote>
  <w:footnote w:id="101">
    <w:p w14:paraId="56C9D54F" w14:textId="23AC16AF" w:rsidR="00FA5297" w:rsidRDefault="00FA5297">
      <w:pPr>
        <w:pStyle w:val="FootnoteText"/>
      </w:pPr>
      <w:r w:rsidRPr="0045782B">
        <w:rPr>
          <w:rStyle w:val="FootnoteReference"/>
        </w:rPr>
        <w:footnoteRef/>
      </w:r>
      <w:r>
        <w:t xml:space="preserve"> </w:t>
      </w:r>
      <w:r>
        <w:fldChar w:fldCharType="begin"/>
      </w:r>
      <w:r w:rsidR="00040AA7">
        <w:instrText xml:space="preserve"> ADDIN ZOTERO_ITEM CSL_CITATION {"citationID":"O0R9IVUq","properties":{"formattedCitation":"Logistics Cluster, \\uc0\\u8216{}3.4 Gambia Telecommunications\\uc0\\u8217{}, {\\i{}Digital Logistics Capacity Assessments} (2024) &lt;https://lca.logcluster.org/34-gambia-telecommunications&gt;.","plainCitation":"Logistics Cluster, ‘3.4 Gambia Telecommunications’, Digital Logistics Capacity Assessments (2024) &lt;https://lca.logcluster.org/34-gambia-telecommunications&gt;.","noteIndex":100},"citationItems":[{"id":3335,"uris":["http://zotero.org/groups/5638933/items/8LNHHHN4"],"itemData":{"id":3335,"type":"webpage","container-title":"Digital Logistics Capacity Assessments","title":"3.4 Gambia Telecommunications","URL":"https://lca.logcluster.org/34-gambia-telecommunications","author":[{"literal":"Logistics Cluster"}],"issued":{"date-parts":[["2024"]]}}}],"schema":"https://github.com/citation-style-language/schema/raw/master/csl-citation.json"} </w:instrText>
      </w:r>
      <w:r>
        <w:fldChar w:fldCharType="separate"/>
      </w:r>
      <w:r w:rsidRPr="00FA5297">
        <w:t xml:space="preserve">Logistics Cluster, ‘3.4 Gambia Telecommunications’, </w:t>
      </w:r>
      <w:r w:rsidRPr="00FA5297">
        <w:rPr>
          <w:i/>
          <w:iCs/>
        </w:rPr>
        <w:t>Digital Logistics Capacity Assessments</w:t>
      </w:r>
      <w:r w:rsidRPr="00FA5297">
        <w:t xml:space="preserve"> (2024) &lt;https://lca.logcluster.org/34-gambia-telecommunications&gt;.</w:t>
      </w:r>
      <w:r>
        <w:fldChar w:fldCharType="end"/>
      </w:r>
    </w:p>
  </w:footnote>
  <w:footnote w:id="102">
    <w:p w14:paraId="6F967488" w14:textId="5540C172" w:rsidR="008A4CA7" w:rsidRDefault="008A4CA7">
      <w:pPr>
        <w:pStyle w:val="FootnoteText"/>
      </w:pPr>
      <w:r w:rsidRPr="0045782B">
        <w:rPr>
          <w:rStyle w:val="FootnoteReference"/>
        </w:rPr>
        <w:footnoteRef/>
      </w:r>
      <w:r>
        <w:t xml:space="preserve"> </w:t>
      </w:r>
      <w:r>
        <w:fldChar w:fldCharType="begin"/>
      </w:r>
      <w:r w:rsidR="00040AA7">
        <w:instrText xml:space="preserve"> ADDIN ZOTERO_ITEM CSL_CITATION {"citationID":"FQm56Xkd","properties":{"formattedCitation":"Ibid.","plainCitation":"Ibid.","noteIndex":101},"citationItems":[{"id":3335,"uris":["http://zotero.org/groups/5638933/items/8LNHHHN4"],"itemData":{"id":3335,"type":"webpage","container-title":"Digital Logistics Capacity Assessments","title":"3.4 Gambia Telecommunications","URL":"https://lca.logcluster.org/34-gambia-telecommunications","author":[{"literal":"Logistics Cluster"}],"issued":{"date-parts":[["2024"]]}}}],"schema":"https://github.com/citation-style-language/schema/raw/master/csl-citation.json"} </w:instrText>
      </w:r>
      <w:r>
        <w:fldChar w:fldCharType="separate"/>
      </w:r>
      <w:r w:rsidR="00FA5297" w:rsidRPr="00FA5297">
        <w:t>Ibid.</w:t>
      </w:r>
      <w:r>
        <w:fldChar w:fldCharType="end"/>
      </w:r>
    </w:p>
  </w:footnote>
  <w:footnote w:id="103">
    <w:p w14:paraId="58DDE5D9" w14:textId="6ACBF61A" w:rsidR="00D72384" w:rsidRPr="00DE1BD4" w:rsidRDefault="00D72384" w:rsidP="00D72384">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{"citationID":"ZFPstPjo","properties":{"formattedCitation":"International Telecommunications Union, \\uc0\\u8216{}Question 5/2: Utilizing Telecommunications/Information and Communication Technologies for Disaster Risk Reduction and Management\\uc0\\u8217{}, {\\i{}ITU} &lt;https://www.itu.int:443/en/publications/ITU-D/Pages/publications.aspx&gt; (\\uc0\\u8216{}{\\i{}Question 5/2}\\uc0\\u8217{}).","plainCitation":"International Telecommunications Union, ‘Question 5/2: Utilizing Telecommunications/Information and Communication Technologies for Disaster Risk Reduction and Management’, ITU &lt;https://www.itu.int:443/en/publications/ITU-D/Pages/publications.aspx&gt; (‘Question 5/2’).","noteIndex":102},"citationItems":[{"id":56,"uris":["http://zotero.org/users/146745/items/LQUMATUX"],"itemData":{"id":56,"type":"webpage","container-title":"ITU","language":"en-US","title":"Question 5/2: Utilizing telecommunications/information and communication technologies for disaster risk reduction and management","title-short":"Question 5/2","URL":"https://www.itu.int:443/en/publications/ITU-D/Pages/publications.aspx","author":[{"literal":"International Telecommunications Union"}],"accessed":{"date-parts":[["2021",12,16]]}}}],"schema":"https://github.com/citation-style-language/schema/raw/master/csl-citation.json"} </w:instrText>
      </w:r>
      <w:r w:rsidRPr="00DE1BD4">
        <w:fldChar w:fldCharType="separate"/>
      </w:r>
      <w:r w:rsidRPr="00DE1BD4">
        <w:rPr>
          <w:szCs w:val="24"/>
        </w:rPr>
        <w:t xml:space="preserve">International Telecommunications Union, ‘Question 5/2: Utilizing Telecommunications/Information and Communication Technologies for Disaster Risk Reduction and Management’, </w:t>
      </w:r>
      <w:r w:rsidRPr="00DE1BD4">
        <w:rPr>
          <w:i/>
          <w:iCs/>
          <w:szCs w:val="24"/>
        </w:rPr>
        <w:t>ITU</w:t>
      </w:r>
      <w:r w:rsidRPr="00DE1BD4">
        <w:rPr>
          <w:szCs w:val="24"/>
        </w:rPr>
        <w:t xml:space="preserve"> &lt;https://www.itu.int:443/en/publications/ITU-D/Pages/publications.aspx&gt; (‘</w:t>
      </w:r>
      <w:r w:rsidRPr="00DE1BD4">
        <w:rPr>
          <w:i/>
          <w:iCs/>
          <w:szCs w:val="24"/>
        </w:rPr>
        <w:t>Question 5/2</w:t>
      </w:r>
      <w:r w:rsidRPr="00DE1BD4">
        <w:rPr>
          <w:szCs w:val="24"/>
        </w:rPr>
        <w:t>’).</w:t>
      </w:r>
      <w:r w:rsidRPr="00DE1BD4">
        <w:fldChar w:fldCharType="end"/>
      </w:r>
    </w:p>
  </w:footnote>
  <w:footnote w:id="104">
    <w:p w14:paraId="53C78BD9" w14:textId="74CE7800" w:rsidR="00D72384" w:rsidRPr="00DE1BD4" w:rsidRDefault="00D72384" w:rsidP="00D72384">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{"citationID":"DZqLmuOO","properties":{"formattedCitation":"\\uc0\\u8216{}What Is Amateur Radio? | IARU\\uc0\\u8217{} &lt;https://www.iaru.org/amateur-radio/what-is-amateur-radio/&gt;.","plainCitation":"‘What Is Amateur Radio? | IARU’ &lt;https://www.iaru.org/amateur-radio/what-is-amateur-radio/&gt;.","noteIndex":103},"citationItems":[{"id":1144,"uris":["http://zotero.org/groups/4544658/items/IZCTBA58"],"itemData":{"id":1144,"type":"webpage","title":"What is Amateur Radio? | IARU","URL":"https://www.iaru.org/amateur-radio/what-is-amateur-radio/","accessed":{"date-parts":[["2022",9,3]]}}}],"schema":"https://github.com/citation-style-language/schema/raw/master/csl-citation.json"} </w:instrText>
      </w:r>
      <w:r w:rsidRPr="00DE1BD4">
        <w:fldChar w:fldCharType="separate"/>
      </w:r>
      <w:r w:rsidRPr="00DE1BD4">
        <w:rPr>
          <w:szCs w:val="24"/>
        </w:rPr>
        <w:t>‘What Is Amateur Radio? | IARU’ &lt;https://www.iaru.org/amateur-radio/what-is-amateur-radio/&gt;.</w:t>
      </w:r>
      <w:r w:rsidRPr="00DE1BD4">
        <w:fldChar w:fldCharType="end"/>
      </w:r>
    </w:p>
  </w:footnote>
  <w:footnote w:id="105">
    <w:p w14:paraId="294CF1C1" w14:textId="1CDF3E87" w:rsidR="00D72384" w:rsidRPr="00DE1BD4" w:rsidRDefault="00D72384" w:rsidP="00DD27CC">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{"citationID":"crRnKtgB","properties":{"formattedCitation":"\\uc0\\u8216{}IARU Emergency Telecommunications Guide\\uc0\\u8217{} &lt;https://www.iaru.org/wp-content/uploads/2020/01/emcommguide_1sept2016.pdf&gt;.","plainCitation":"‘IARU Emergency Telecommunications Guide’ &lt;https://www.iaru.org/wp-content/uploads/2020/01/emcommguide_1sept2016.pdf&gt;.","noteIndex":104},"citationItems":[{"id":1145,"uris":["http://zotero.org/groups/4544658/items/N5JKRXSL"],"itemData":{"id":1145,"type":"document","title":"IARU Emergency Telecommunications Guide","URL":"https://www.iaru.org/wp-content/uploads/2020/01/emcommguide_1sept2016.pdf","accessed":{"date-parts":[["2022",9,3]]},"issued":{"date-parts":[["2016",9]]}}}],"schema":"https://github.com/citation-style-language/schema/raw/master/csl-citation.json"} </w:instrText>
      </w:r>
      <w:r w:rsidRPr="00DE1BD4">
        <w:fldChar w:fldCharType="separate"/>
      </w:r>
      <w:r w:rsidRPr="00DE1BD4">
        <w:rPr>
          <w:szCs w:val="24"/>
        </w:rPr>
        <w:t>‘IARU Emergency Telecommunications Guide’ &lt;https://www.iaru.org/wp-content/uploads/2020/01/emcommguide_1sept2016.pdf&gt;.</w:t>
      </w:r>
      <w:r w:rsidRPr="00DE1BD4">
        <w:fldChar w:fldCharType="end"/>
      </w:r>
    </w:p>
  </w:footnote>
  <w:footnote w:id="106">
    <w:p w14:paraId="242CF7D1" w14:textId="32349091" w:rsidR="00A029DB" w:rsidRDefault="00A029DB" w:rsidP="00095DF8">
      <w:pPr>
        <w:pStyle w:val="FootnoteText"/>
        <w:jc w:val="left"/>
      </w:pPr>
      <w:r w:rsidRPr="0045782B">
        <w:rPr>
          <w:rStyle w:val="FootnoteReference"/>
        </w:rPr>
        <w:footnoteRef/>
      </w:r>
      <w:r>
        <w:t xml:space="preserve"> </w:t>
      </w:r>
      <w:r>
        <w:fldChar w:fldCharType="begin"/>
      </w:r>
      <w:r w:rsidR="00A95B7C">
        <w:instrText xml:space="preserve"> ADDIN ZOTERO_ITEM CSL_CITATION {"citationID":"N9ybnwKa","properties":{"formattedCitation":"International Aateur Radio Union, \\uc0\\u8216{}Member Societies\\uc0\\u8217{} (2024) &lt;https://www.iaru.org/reference/member-societies/&gt;.","plainCitation":"International Aateur Radio Union, ‘Member Societies’ (2024) &lt;https://www.iaru.org/reference/member-societies/&gt;.","dontUpdate":true,"noteIndex":105},"citationItems":[{"id":3217,"uris":["http://zotero.org/groups/5420386/items/MNF64KFI"],"itemData":{"id":3217,"type":"post-weblog","language":"en-US","title":"Member Societies","URL":"https://www.iaru.org/reference/member-societies/","author":[{"literal":"International Amateur Radio Union"}],"accessed":{"date-parts":[["2024",8,11]]},"issued":{"date-parts":[["2024"]]}}}],"schema":"https://github.com/citation-style-language/schema/raw/master/csl-citation.json"} </w:instrText>
      </w:r>
      <w:r>
        <w:fldChar w:fldCharType="separate"/>
      </w:r>
      <w:r w:rsidRPr="00A029DB">
        <w:t xml:space="preserve">International </w:t>
      </w:r>
      <w:r w:rsidR="00DC6939" w:rsidRPr="00A029DB">
        <w:t>Amateur</w:t>
      </w:r>
      <w:r w:rsidRPr="00A029DB">
        <w:t xml:space="preserve"> Radio Union, ‘Member Societies’ (2024) &lt;https://www.iaru.org/reference/member-societies/&gt;.</w:t>
      </w:r>
      <w:r>
        <w:fldChar w:fldCharType="end"/>
      </w:r>
    </w:p>
  </w:footnote>
  <w:footnote w:id="107">
    <w:p w14:paraId="3B7B3A11" w14:textId="44FA37B1" w:rsidR="001A4DB0" w:rsidRPr="00DE1BD4" w:rsidRDefault="001A4DB0">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{"citationID":"pSLoHuKf","properties":{"formattedCitation":"United Nations Treaty Collection, \\uc0\\u8216{}Tampere Convention\\uc0\\u8217{} (18 June 1998) &lt;https://treaties.un.org/pages/ViewDetails.aspx?src=TREATY&amp;mtdsg_no=XXV-4&amp;chapter=25&gt;.","plainCitation":"United Nations Treaty Collection, ‘Tampere Convention’ (18 June 1998) &lt;https://treaties.un.org/pages/ViewDetails.aspx?src=TREATY&amp;mtdsg_no=XXV-4&amp;chapter=25&gt;.","noteIndex":106},"citationItems":[{"id":1261,"uris":["http://zotero.org/groups/4544658/items/UFJKH3SW"],"itemData":{"id":1261,"type":"webpage","abstract":"This is the United Nations Treaty Collection homepage. Here you will find related information and links.","language":"EN","title":"Tampere Convention","URL":"https://treaties.un.org/pages/ViewDetails.aspx?src=TREATY&amp;mtdsg_no=XXV-4&amp;chapter=25","author":[{"literal":"United Nations Treaty Collection"}],"accessed":{"date-parts":[["2021",12,18]]},"issued":{"date-parts":[["1998",6,18]]}}}],"schema":"https://github.com/citation-style-language/schema/raw/master/csl-citation.json"} </w:instrText>
      </w:r>
      <w:r w:rsidRPr="00DE1BD4">
        <w:fldChar w:fldCharType="separate"/>
      </w:r>
      <w:r w:rsidRPr="00DE1BD4">
        <w:t>United Nations Treaty Collection, ‘Tampere Convention’ (18 June 1998) &lt;https://treaties.un.org/pages/ViewDetails.aspx?src=TREATY&amp;mtdsg_no=XXV-4&amp;chapter=25&gt;.</w:t>
      </w:r>
      <w:r w:rsidRPr="00DE1BD4">
        <w:fldChar w:fldCharType="end"/>
      </w:r>
    </w:p>
  </w:footnote>
  <w:footnote w:id="108">
    <w:p w14:paraId="2433FAE8" w14:textId="0CFA2BCB" w:rsidR="006870BD" w:rsidRPr="00DE1BD4" w:rsidRDefault="006870BD" w:rsidP="00A20CF0">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{"citationID":"CZzyqLKZ","properties":{"formattedCitation":"International Telecommunications Union, \\uc0\\u8216{}ITU Guidelines for National Emergency Telecommunication Plans\\uc0\\u8217{}, {\\i{}ITU} (2020) &lt;https://www.itu.int:443/en/ITU-D/Emergency-Telecommunications/Pages/Publications/Guidelines-for-NETPs.aspx&gt;.","plainCitation":"International Telecommunications Union, ‘ITU Guidelines for National Emergency Telecommunication Plans’, ITU (2020) &lt;https://www.itu.int:443/en/ITU-D/Emergency-Telecommunications/Pages/Publications/Guidelines-for-NETPs.aspx&gt;.","noteIndex":107},"citationItems":[{"id":1315,"uris":["http://zotero.org/groups/4544658/items/4KMTID4A"],"itemData":{"id":1315,"type":"webpage","container-title":"ITU","language":"en-US","title":"ITU Guidelines for National Emergency Telecommunication plans","URL":"https://www.itu.int:443/en/ITU-D/Emergency-Telecommunications/Pages/Publications/Guidelines-for-NETPs.aspx","author":[{"literal":"International Telecommunications Union"}],"accessed":{"date-parts":[["2021",12,18]]},"issued":{"date-parts":[["2020"]]}}}],"schema":"https://github.com/citation-style-language/schema/raw/master/csl-citation.json"} </w:instrText>
      </w:r>
      <w:r w:rsidRPr="00DE1BD4">
        <w:fldChar w:fldCharType="separate"/>
      </w:r>
      <w:r w:rsidR="003112B9" w:rsidRPr="00DE1BD4">
        <w:t xml:space="preserve">International Telecommunications Union, ‘ITU Guidelines for National Emergency Telecommunication Plans’, </w:t>
      </w:r>
      <w:r w:rsidR="003112B9" w:rsidRPr="00DE1BD4">
        <w:rPr>
          <w:i/>
          <w:iCs/>
        </w:rPr>
        <w:t>ITU</w:t>
      </w:r>
      <w:r w:rsidR="003112B9" w:rsidRPr="00DE1BD4">
        <w:t xml:space="preserve"> (2020) &lt;https://www.itu.int:443/en/ITU-D/Emergency-Telecommunications/Pages/Publications/Guidelines-for-NETPs.aspx&gt;.</w:t>
      </w:r>
      <w:r w:rsidRPr="00DE1BD4">
        <w:fldChar w:fldCharType="end"/>
      </w:r>
    </w:p>
  </w:footnote>
  <w:footnote w:id="109">
    <w:p w14:paraId="008194F1" w14:textId="684BA367" w:rsidR="0020520F" w:rsidRDefault="0020520F" w:rsidP="001A4FBC">
      <w:pPr>
        <w:pStyle w:val="FootnoteText"/>
        <w:jc w:val="left"/>
      </w:pPr>
      <w:r w:rsidRPr="0045782B">
        <w:rPr>
          <w:rStyle w:val="FootnoteReference"/>
        </w:rPr>
        <w:footnoteRef/>
      </w:r>
      <w:r>
        <w:t xml:space="preserve"> </w:t>
      </w:r>
      <w:r>
        <w:fldChar w:fldCharType="begin"/>
      </w:r>
      <w:r w:rsidR="00A95B7C">
        <w:instrText xml:space="preserve"> ADDIN ZOTERO_ITEM CSL_CITATION {"citationID":"wt9H1uGj","properties":{"formattedCitation":"Africa Risk Capacity, \\uc0\\u8216{}Country MoUs | African Risk Capacity Group\\uc0\\u8217{} (2024) &lt;https://www.arc.int/country-mous&gt;.","plainCitation":"Africa Risk Capacity, ‘Country MoUs | African Risk Capacity Group’ (2024) &lt;https://www.arc.int/country-mous&gt;.","noteIndex":108},"citationItems":[{"id":3344,"uris":["http://zotero.org/groups/5638933/items/XKUJZKLM"],"itemData":{"id":3344,"type":"webpage","title":"Country MoUs | African Risk Capacity Group","URL":"https://www.arc.int/country-mous","author":[{"literal":"Africa Risk Capacity"}],"accessed":{"date-parts":[["2024",10,22]]},"issued":{"date-parts":[["2024"]]}}}],"schema":"https://github.com/citation-style-language/schema/raw/master/csl-citation.json"} </w:instrText>
      </w:r>
      <w:r>
        <w:fldChar w:fldCharType="separate"/>
      </w:r>
      <w:r w:rsidRPr="0020520F">
        <w:t>Africa Risk Capacity, ‘Country MoUs | African Risk Capacity Group’ (2024) &lt;https://www.arc.int/country-mous&gt;.</w:t>
      </w:r>
      <w:r>
        <w:fldChar w:fldCharType="end"/>
      </w:r>
    </w:p>
  </w:footnote>
  <w:footnote w:id="110">
    <w:p w14:paraId="4135D04B" w14:textId="1AEBC2BB" w:rsidR="003945E3" w:rsidRDefault="003945E3">
      <w:pPr>
        <w:pStyle w:val="FootnoteText"/>
      </w:pPr>
      <w:r w:rsidRPr="0045782B">
        <w:rPr>
          <w:rStyle w:val="FootnoteReference"/>
        </w:rPr>
        <w:footnoteRef/>
      </w:r>
      <w:r>
        <w:t xml:space="preserve"> </w:t>
      </w:r>
      <w:r>
        <w:fldChar w:fldCharType="begin"/>
      </w:r>
      <w:r w:rsidR="00A95B7C">
        <w:instrText xml:space="preserve"> ADDIN ZOTERO_ITEM CSL_CITATION {"citationID":"4ffN6Ouj","properties":{"formattedCitation":"Africa Risk Capacity, \\uc0\\u8216{}Who We Are | African Risk Capacity Group\\uc0\\u8217{} (2024) &lt;https://www.arc.int/index.php/about&gt;.","plainCitation":"Africa Risk Capacity, ‘Who We Are | African Risk Capacity Group’ (2024) &lt;https://www.arc.int/index.php/about&gt;.","noteIndex":109},"citationItems":[{"id":3345,"uris":["http://zotero.org/groups/5638933/items/UBV755JM"],"itemData":{"id":3345,"type":"webpage","title":"Who We Are | African Risk Capacity Group","URL":"https://www.arc.int/index.php/about","author":[{"literal":"Africa Risk Capacity"}],"accessed":{"date-parts":[["2024",10,22]]},"issued":{"date-parts":[["2024"]]}}}],"schema":"https://github.com/citation-style-language/schema/raw/master/csl-citation.json"} </w:instrText>
      </w:r>
      <w:r>
        <w:fldChar w:fldCharType="separate"/>
      </w:r>
      <w:r w:rsidRPr="003945E3">
        <w:t>Africa Risk Capacity, ‘Who We Are | African Risk Capacity Group’ (2024) &lt;https://www.arc.int/index.php/about&gt;.</w:t>
      </w:r>
      <w:r>
        <w:fldChar w:fldCharType="end"/>
      </w:r>
    </w:p>
  </w:footnote>
  <w:footnote w:id="111">
    <w:p w14:paraId="72C1C983" w14:textId="398E2D08" w:rsidR="00993C5A" w:rsidRDefault="00993C5A">
      <w:pPr>
        <w:pStyle w:val="FootnoteText"/>
      </w:pPr>
      <w:r w:rsidRPr="0045782B">
        <w:rPr>
          <w:rStyle w:val="FootnoteReference"/>
        </w:rPr>
        <w:footnoteRef/>
      </w:r>
      <w:r>
        <w:t xml:space="preserve"> </w:t>
      </w:r>
      <w:r>
        <w:fldChar w:fldCharType="begin"/>
      </w:r>
      <w:r w:rsidR="00A95B7C">
        <w:instrText xml:space="preserve"> ADDIN ZOTERO_ITEM CSL_CITATION {"citationID":"gqnYTi9v","properties":{"formattedCitation":"Africa Risk Capacity, \\uc0\\u8216{}Capacity Building Programme | African Risk Capacity Group\\uc0\\u8217{} (2024) &lt;https://www.arc.int/index.php/capacity-building-programme&gt;.","plainCitation":"Africa Risk Capacity, ‘Capacity Building Programme | African Risk Capacity Group’ (2024) &lt;https://www.arc.int/index.php/capacity-building-programme&gt;.","noteIndex":110},"citationItems":[{"id":3346,"uris":["http://zotero.org/groups/5638933/items/VLPV4PFM"],"itemData":{"id":3346,"type":"webpage","title":"Capacity Building Programme | African Risk Capacity Group","URL":"https://www.arc.int/index.php/capacity-building-programme","author":[{"literal":"Africa Risk Capacity"}],"accessed":{"date-parts":[["2024",10,22]]},"issued":{"date-parts":[["2024"]]}}}],"schema":"https://github.com/citation-style-language/schema/raw/master/csl-citation.json"} </w:instrText>
      </w:r>
      <w:r>
        <w:fldChar w:fldCharType="separate"/>
      </w:r>
      <w:r w:rsidRPr="00993C5A">
        <w:t>Africa Risk Capacity, ‘Capacity Building Programme | African Risk Capacity Group’ (2024) &lt;https://www.arc.int/index.php/capacity-building-programme&gt;.</w:t>
      </w:r>
      <w:r>
        <w:fldChar w:fldCharType="end"/>
      </w:r>
    </w:p>
  </w:footnote>
  <w:footnote w:id="112">
    <w:p w14:paraId="503C913A" w14:textId="13E0DB12" w:rsidR="00153EB4" w:rsidRPr="00DE1BD4" w:rsidRDefault="00153EB4" w:rsidP="008D5D84">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{"citationID":"KygIBKQd","properties":{"formattedCitation":"EMEA Satellite Operator\\uc0\\u8217{}s Association (ESOA), \\uc0\\u8216{}Crisis Connectivity Charter\\uc0\\u8217{} &lt;https://esoa.net/wp-content/uploads/2015-10-UN-Charter-document.pdf&gt;.","plainCitation":"EMEA Satellite Operator’s Association (ESOA), ‘Crisis Connectivity Charter’ &lt;https://esoa.net/wp-content/uploads/2015-10-UN-Charter-document.pdf&gt;.","noteIndex":111},"citationItems":[{"id":1429,"uris":["http://zotero.org/groups/4544658/items/HXMSM5EU"],"itemData":{"id":1429,"type":"document","publisher":"United Nations","title":"Crisis Connectivity Charter","URL":"https://esoa.net/wp-content/uploads/2015-10-UN-Charter-document.pdf","author":[{"literal":"EMEA Satellite Operator’s Association (ESOA)"}],"accessed":{"date-parts":[["2021",11,29]]},"issued":{"date-parts":[["2015"]]}}}],"schema":"https://github.com/citation-style-language/schema/raw/master/csl-citation.json"} </w:instrText>
      </w:r>
      <w:r w:rsidRPr="00DE1BD4">
        <w:fldChar w:fldCharType="separate"/>
      </w:r>
      <w:r w:rsidR="00741B3A" w:rsidRPr="00DE1BD4">
        <w:rPr>
          <w:szCs w:val="24"/>
        </w:rPr>
        <w:t>EMEA Satellite Operator’s Association (ESOA), ‘Crisis Connectivity Charter’ &lt;https://esoa.net/wp-content/uploads/2015-10-UN-Charter-document.pdf&gt;.</w:t>
      </w:r>
      <w:r w:rsidRPr="00DE1BD4">
        <w:fldChar w:fldCharType="end"/>
      </w:r>
    </w:p>
  </w:footnote>
  <w:footnote w:id="113">
    <w:p w14:paraId="17D79DF1" w14:textId="27869CB7" w:rsidR="006B06BD" w:rsidRPr="00DE1BD4" w:rsidRDefault="006B06BD">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{"citationID":"p14tKhDe","properties":{"formattedCitation":"\\uc0\\u8216{}Home - International Disasters Charter\\uc0\\u8217{} &lt;https://disasterscharter.org/web/guest/home&gt;.","plainCitation":"‘Home - International Disasters Charter’ &lt;https://disasterscharter.org/web/guest/home&gt;.","noteIndex":112},"citationItems":[{"id":1508,"uris":["http://zotero.org/groups/4544658/items/DU2T66IN"],"itemData":{"id":1508,"type":"webpage","title":"Home - International Disasters Charter","URL":"https://disasterscharter.org/web/guest/home","accessed":{"date-parts":[["2022",8,4]]}}}],"schema":"https://github.com/citation-style-language/schema/raw/master/csl-citation.json"} </w:instrText>
      </w:r>
      <w:r w:rsidRPr="00DE1BD4">
        <w:fldChar w:fldCharType="separate"/>
      </w:r>
      <w:r w:rsidR="00394721" w:rsidRPr="00DE1BD4">
        <w:rPr>
          <w:szCs w:val="24"/>
        </w:rPr>
        <w:t>‘Home - International Disasters Charter’ &lt;https://disasterscharter.org/web/guest/home&gt;.</w:t>
      </w:r>
      <w:r w:rsidRPr="00DE1BD4">
        <w:fldChar w:fldCharType="end"/>
      </w:r>
    </w:p>
  </w:footnote>
  <w:footnote w:id="114">
    <w:p w14:paraId="1F13EDA7" w14:textId="4987D881" w:rsidR="00FE5018" w:rsidRPr="00DE1BD4" w:rsidRDefault="00FE5018" w:rsidP="00D7190C">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{"citationID":"2GF8XU7X","properties":{"formattedCitation":"OCHA, \\uc0\\u8216{}UNDAC System\\uc0\\u8217{} (Suva, Fiji, 2014) &lt;http://pacifichumanitarian.info/wp-content/uploads/2015/11/UNDAC-Presentration-Fiji-2014.pdf&gt;.","plainCitation":"OCHA, ‘UNDAC System’ (Suva, Fiji, 2014) &lt;http://pacifichumanitarian.info/wp-content/uploads/2015/11/UNDAC-Presentration-Fiji-2014.pdf&gt;.","noteIndex":113},"citationItems":[{"id":1393,"uris":["http://zotero.org/groups/4544658/items/EGKN9GCP"],"itemData":{"id":1393,"type":"speech","event-place":"Suva, Fiji","publisher-place":"Suva, Fiji","title":"UNDAC System","URL":"http://pacifichumanitarian.info/wp-content/uploads/2015/11/UNDAC-Presentration-Fiji-2014.pdf","author":[{"literal":"OCHA"}],"accessed":{"date-parts":[["2021",12,10]]},"issued":{"date-parts":[["2014"]]}}}],"schema":"https://github.com/citation-style-language/schema/raw/master/csl-citation.json"} </w:instrText>
      </w:r>
      <w:r w:rsidRPr="00DE1BD4">
        <w:fldChar w:fldCharType="separate"/>
      </w:r>
      <w:r w:rsidRPr="00DE1BD4">
        <w:rPr>
          <w:szCs w:val="24"/>
        </w:rPr>
        <w:t>OCHA, ‘UNDAC System’ (Suva, Fiji, 2014) &lt;http://pacifichumanitarian.info/wp-content/uploads/2015/11/UNDAC-Presentration-Fiji-2014.pdf&gt;.</w:t>
      </w:r>
      <w:r w:rsidRPr="00DE1BD4">
        <w:fldChar w:fldCharType="end"/>
      </w:r>
    </w:p>
  </w:footnote>
  <w:footnote w:id="115">
    <w:p w14:paraId="31057F06" w14:textId="50DBEA3F" w:rsidR="00DE10FB" w:rsidRPr="00DE1BD4" w:rsidRDefault="00DE10FB">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{"citationID":"rRHqGsjP","properties":{"formattedCitation":"\\uc0\\u8216{}UNDAC Members and Partners\\uc0\\u8217{}, {\\i{}OCHA} (24 February 2017) &lt;https://www.unocha.org/undac-members-and-partners&gt;.","plainCitation":"‘UNDAC Members and Partners’, OCHA (24 February 2017) &lt;https://www.unocha.org/undac-members-and-partners&gt;.","noteIndex":114},"citationItems":[{"id":1618,"uris":["http://zotero.org/groups/4544658/items/88HENVGJ"],"itemData":{"id":1618,"type":"webpage","abstract":"Membership The UNDAC team was established in 1993 and today consists of more than 250 national emergency managers from more than 70 member and participating countries, together with staff from OCHA and 16 international and regional organizations including UN agencies. UNDAC member countries are those countries that financially support their participation in the UNDAC system through depositing funds with OCHA (in so-called “mission accounts”) to cover the deployment costs of their national UNDAC members on UNDAC mission.","container-title":"OCHA","language":"en","title":"UNDAC Members and Partners","URL":"https://www.unocha.org/undac-members-and-partners","accessed":{"date-parts":[["2022",7,30]]},"issued":{"date-parts":[["2017",2,24]]}}}],"schema":"https://github.com/citation-style-language/schema/raw/master/csl-citation.json"} </w:instrText>
      </w:r>
      <w:r w:rsidRPr="00DE1BD4">
        <w:fldChar w:fldCharType="separate"/>
      </w:r>
      <w:r w:rsidR="00C12012" w:rsidRPr="00DE1BD4">
        <w:rPr>
          <w:szCs w:val="24"/>
        </w:rPr>
        <w:t xml:space="preserve">‘UNDAC Members and Partners’, </w:t>
      </w:r>
      <w:r w:rsidR="00C12012" w:rsidRPr="00DE1BD4">
        <w:rPr>
          <w:i/>
          <w:iCs/>
          <w:szCs w:val="24"/>
        </w:rPr>
        <w:t>OCHA</w:t>
      </w:r>
      <w:r w:rsidR="00C12012" w:rsidRPr="00DE1BD4">
        <w:rPr>
          <w:szCs w:val="24"/>
        </w:rPr>
        <w:t xml:space="preserve"> (24 February 2017) &lt;https://www.unocha.org/undac-members-and-partners&gt;.</w:t>
      </w:r>
      <w:r w:rsidRPr="00DE1BD4">
        <w:fldChar w:fldCharType="end"/>
      </w:r>
    </w:p>
  </w:footnote>
  <w:footnote w:id="116">
    <w:p w14:paraId="0EC0C1E8" w14:textId="242B9DE9" w:rsidR="00027F5A" w:rsidRDefault="00027F5A">
      <w:pPr>
        <w:pStyle w:val="FootnoteText"/>
      </w:pPr>
      <w:r w:rsidRPr="0045782B">
        <w:rPr>
          <w:rStyle w:val="FootnoteReference"/>
        </w:rPr>
        <w:footnoteRef/>
      </w:r>
      <w:r>
        <w:t xml:space="preserve"> </w:t>
      </w:r>
      <w:r>
        <w:fldChar w:fldCharType="begin"/>
      </w:r>
      <w:r w:rsidR="00A95B7C">
        <w:instrText xml:space="preserve"> ADDIN ZOTERO_ITEM CSL_CITATION {"citationID":"HRDl5Din","properties":{"formattedCitation":"United Nations, \\uc0\\u8216{}The United Nations in The Gambia\\uc0\\u8217{} (2024) &lt;https://gambia.un.org/en/about/about-the-un&gt;.","plainCitation":"United Nations, ‘The United Nations in The Gambia’ (2024) &lt;https://gambia.un.org/en/about/about-the-un&gt;.","noteIndex":115},"citationItems":[{"id":3356,"uris":["http://zotero.org/groups/5638933/items/NTAB8R4F"],"itemData":{"id":3356,"type":"webpage","language":"en","title":"The United Nations in The Gambia","URL":"https://gambia.un.org/en/about/about-the-un","author":[{"literal":"United Nations"}],"accessed":{"date-parts":[["2024",10,23]]},"issued":{"date-parts":[["2024"]]}}}],"schema":"https://github.com/citation-style-language/schema/raw/master/csl-citation.json"} </w:instrText>
      </w:r>
      <w:r>
        <w:fldChar w:fldCharType="separate"/>
      </w:r>
      <w:r w:rsidRPr="00027F5A">
        <w:t>United Nations, ‘The United Nations in The Gambia’ (2024) &lt;https://gambia.un.org/en/about/about-the-un&gt;.</w:t>
      </w:r>
      <w:r>
        <w:fldChar w:fldCharType="end"/>
      </w:r>
    </w:p>
  </w:footnote>
  <w:footnote w:id="117">
    <w:p w14:paraId="29E1D377" w14:textId="4D71D955" w:rsidR="008A4AAF" w:rsidRPr="00DE1BD4" w:rsidRDefault="008A4AAF" w:rsidP="00344140">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{"citationID":"PTF4k3F3","properties":{"formattedCitation":"\\uc0\\u8216{}About the ETC | Emergency Telecommunications Cluster (ETC)\\uc0\\u8217{} (n 43).","plainCitation":"‘About the ETC | Emergency Telecommunications Cluster (ETC)’ (n 43).","noteIndex":116},"citationItems":[{"id":1456,"uris":["http://zotero.org/groups/4544658/items/TUE2I89I"],"itemData":{"id":1456,"type":"webpage","abstract":"The Emergency Telecommunications Cluster (ETC) is a global network of organizations that work together to provide shared communications services in humanitarian emergencies. The ETC is one of the 11 clusters designated by the Inter-Agency Standing Committee (IASC).","language":"en","title":"About the ETC | Emergency Telecommunications Cluster (ETC)","URL":"https://www.etcluster.org/about-etc","accessed":{"date-parts":[["2021",12,15]]},"issued":{"date-parts":[["2021",12,15]]}}}],"schema":"https://github.com/citation-style-language/schema/raw/master/csl-citation.json"} </w:instrText>
      </w:r>
      <w:r w:rsidRPr="00DE1BD4">
        <w:fldChar w:fldCharType="separate"/>
      </w:r>
      <w:r w:rsidR="004B5C9A" w:rsidRPr="004B5C9A">
        <w:t>‘About the ETC | Emergency Telecommunications Cluster (ETC)’ (n 43).</w:t>
      </w:r>
      <w:r w:rsidRPr="00DE1BD4">
        <w:fldChar w:fldCharType="end"/>
      </w:r>
    </w:p>
  </w:footnote>
  <w:footnote w:id="118">
    <w:p w14:paraId="59174A7F" w14:textId="3B698845" w:rsidR="00A03FB7" w:rsidRPr="00DE1BD4" w:rsidRDefault="00A03FB7">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{"citationID":"tljTjnde","properties":{"formattedCitation":"\\uc0\\u8216{}Intersec Embraces the UN \\uc0\\u8220{}Early Warnings for All\\uc0\\u8221{} Initiative and Recalls the Importance of an Integrated Approach\\uc0\\u8217{} &lt;https://intersec.com/blog/intersec-embraces-the-un-early-warnings-for-all-initiative-and-recalls-the-importance-of-an-integrated-approach&gt;.","plainCitation":"‘Intersec Embraces the UN “Early Warnings for All” Initiative and Recalls the Importance of an Integrated Approach’ &lt;https://intersec.com/blog/intersec-embraces-the-un-early-warnings-for-all-initiative-and-recalls-the-importance-of-an-integrated-approach&gt;.","noteIndex":117},"citationItems":[{"id":2989,"uris":["http://zotero.org/groups/5420386/items/6IFEFU65"],"itemData":{"id":2989,"type":"webpage","abstract":"There are various acronyms used around the topic, let’s have a closer look: PWS, EWS, MHEWS.","language":"en","title":"Intersec embraces the UN “Early Warnings for All” Initiative and recalls the importance of an integrated approach","URL":"https://intersec.com/blog/intersec-embraces-the-un-early-warnings-for-all-initiative-and-recalls-the-importance-of-an-integrated-approach","accessed":{"date-parts":[["2024",6,5]]}}}],"schema":"https://github.com/citation-style-language/schema/raw/master/csl-citation.json"} </w:instrText>
      </w:r>
      <w:r w:rsidRPr="00DE1BD4">
        <w:fldChar w:fldCharType="separate"/>
      </w:r>
      <w:r w:rsidRPr="00DE1BD4">
        <w:t>‘Intersec Embraces the UN “Early Warnings for All” Initiative and Recalls the Importance of an Integrated Approach’ &lt;https://intersec.com/blog/intersec-embraces-the-un-early-warnings-for-all-initiative-and-recalls-the-importance-of-an-integrated-approach&gt;.</w:t>
      </w:r>
      <w:r w:rsidRPr="00DE1BD4">
        <w:fldChar w:fldCharType="end"/>
      </w:r>
    </w:p>
  </w:footnote>
  <w:footnote w:id="119">
    <w:p w14:paraId="17DB5333" w14:textId="709ACC65" w:rsidR="00D1252A" w:rsidRDefault="00D1252A">
      <w:pPr>
        <w:pStyle w:val="FootnoteText"/>
      </w:pPr>
      <w:r w:rsidRPr="0045782B">
        <w:rPr>
          <w:rStyle w:val="FootnoteReference"/>
        </w:rPr>
        <w:footnoteRef/>
      </w:r>
      <w:r>
        <w:t xml:space="preserve"> </w:t>
      </w:r>
      <w:r>
        <w:fldChar w:fldCharType="begin"/>
      </w:r>
      <w:r w:rsidR="00040AA7">
        <w:instrText xml:space="preserve"> ADDIN ZOTERO_ITEM CSL_CITATION {"citationID":"e5xGOBoL","properties":{"formattedCitation":"University of Southampton and Princeton Climate Institute, \\uc0\\u8216{}African Flood and Drought Monitor\\uc0\\u8217{} (2024) &lt;https://hydrology.soton.ac.uk/apps/afdm/&gt;.","plainCitation":"University of Southampton and Princeton Climate Institute, ‘African Flood and Drought Monitor’ (2024) &lt;https://hydrology.soton.ac.uk/apps/afdm/&gt;.","noteIndex":118},"citationItems":[{"id":3252,"uris":["http://zotero.org/groups/5420386/items/29VV4N97"],"itemData":{"id":3252,"type":"webpage","title":"African Flood and Drought Monitor","URL":"https://hydrology.soton.ac.uk/apps/afdm/","author":[{"literal":"University of Southampton"},{"literal":"Princeton Climate Institute"}],"accessed":{"date-parts":[["2024",8,15]]},"issued":{"date-parts":[["2024"]]}}}],"schema":"https://github.com/citation-style-language/schema/raw/master/csl-citation.json"} </w:instrText>
      </w:r>
      <w:r>
        <w:fldChar w:fldCharType="separate"/>
      </w:r>
      <w:r w:rsidRPr="00D1252A">
        <w:t>University of Southampton and Princeton Climate Institute, ‘African Flood and Drought Monitor’ (2024) &lt;https://hydrology.soton.ac.uk/apps/afdm/&gt;.</w:t>
      </w:r>
      <w:r>
        <w:fldChar w:fldCharType="end"/>
      </w:r>
    </w:p>
  </w:footnote>
  <w:footnote w:id="120">
    <w:p w14:paraId="44E2977A" w14:textId="368D2ADD" w:rsidR="001A587B" w:rsidRDefault="001A587B">
      <w:pPr>
        <w:pStyle w:val="FootnoteText"/>
      </w:pPr>
      <w:r w:rsidRPr="0045782B">
        <w:rPr>
          <w:rStyle w:val="FootnoteReference"/>
        </w:rPr>
        <w:footnoteRef/>
      </w:r>
      <w:r>
        <w:t xml:space="preserve"> </w:t>
      </w:r>
      <w:r>
        <w:fldChar w:fldCharType="begin"/>
      </w:r>
      <w:r w:rsidR="00A95B7C">
        <w:instrText xml:space="preserve"> ADDIN ZOTERO_ITEM CSL_CITATION {"citationID":"mLNrJHBI","properties":{"formattedCitation":"Jurjen Wagemaker, \\uc0\\u8216{}Community Water Watch, Tanzania - FloodTags\\uc0\\u8217{} (14 February 2022) &lt;https://www.floodtags.com/community-water-watch-3/&gt;.","plainCitation":"Jurjen Wagemaker, ‘Community Water Watch, Tanzania - FloodTags’ (14 February 2022) &lt;https://www.floodtags.com/community-water-watch-3/&gt;.","noteIndex":119},"citationItems":[{"id":3254,"uris":["http://zotero.org/groups/5420386/items/5LC7KLUK"],"itemData":{"id":3254,"type":"webpage","abstract":"Success Stories Community Water Watch Location Dar Es Salaam - Financed by Dutch Ministry of Economic Affairs and Climate Challenge Dar Es Salaam is frequently hit by floods. In particular informal settlements exhibit a high vulnerability to floods, as settlements are unplanned, have to cope with very limited infrastructure and solid waste frequently clogs the","language":"en-GB","title":"Community Water Watch, Tanzania - FloodTags","URL":"https://www.floodtags.com/community-water-watch-3/","author":[{"family":"Wagemaker","given":"Jurjen"}],"accessed":{"date-parts":[["2024",8,15]]},"issued":{"date-parts":[["2022",2,14]]}}}],"schema":"https://github.com/citation-style-language/schema/raw/master/csl-citation.json"} </w:instrText>
      </w:r>
      <w:r>
        <w:fldChar w:fldCharType="separate"/>
      </w:r>
      <w:r w:rsidRPr="001A587B">
        <w:t>Jurjen Wagemaker, ‘Community Water Watch, Tanzania - FloodTags’ (14 February 2022) &lt;https://www.floodtags.com/community-water-watch-3/&gt;.</w:t>
      </w:r>
      <w:r>
        <w:fldChar w:fldCharType="end"/>
      </w:r>
    </w:p>
  </w:footnote>
  <w:footnote w:id="121">
    <w:p w14:paraId="2A17AE4C" w14:textId="425278D0" w:rsidR="002F4681" w:rsidRDefault="002F4681">
      <w:pPr>
        <w:pStyle w:val="FootnoteText"/>
      </w:pPr>
      <w:r w:rsidRPr="0045782B">
        <w:rPr>
          <w:rStyle w:val="FootnoteReference"/>
        </w:rPr>
        <w:footnoteRef/>
      </w:r>
      <w:r>
        <w:t xml:space="preserve"> </w:t>
      </w:r>
      <w:r>
        <w:fldChar w:fldCharType="begin"/>
      </w:r>
      <w:r w:rsidR="00A95B7C">
        <w:instrText xml:space="preserve"> ADDIN ZOTERO_ITEM CSL_CITATION {"citationID":"HIJviApR","properties":{"formattedCitation":"\\uc0\\u8216{}FloodTags - Weather Impact Monitoring Using Social Media\\uc0\\u8217{} &lt;https://www.floodtags.com/&gt;.","plainCitation":"‘FloodTags - Weather Impact Monitoring Using Social Media’ &lt;https://www.floodtags.com/&gt;.","noteIndex":120},"citationItems":[{"id":3256,"uris":["http://zotero.org/groups/5420386/items/FKQZLJLH"],"itemData":{"id":3256,"type":"webpage","abstract":"Flood and Wildfire monitoring using social media and online media including Twitter, YouTube and News Articles","language":"en-GB","title":"FloodTags - Weather Impact Monitoring using Social Media","URL":"https://www.floodtags.com/","accessed":{"date-parts":[["2024",8,15]]}}}],"schema":"https://github.com/citation-style-language/schema/raw/master/csl-citation.json"} </w:instrText>
      </w:r>
      <w:r>
        <w:fldChar w:fldCharType="separate"/>
      </w:r>
      <w:r w:rsidRPr="002F4681">
        <w:t>‘FloodTags - Weather Impact Monitoring Using Social Media’ &lt;https://www.floodtags.com/&gt;.</w:t>
      </w:r>
      <w:r>
        <w:fldChar w:fldCharType="end"/>
      </w:r>
    </w:p>
  </w:footnote>
  <w:footnote w:id="122">
    <w:p w14:paraId="689EF43D" w14:textId="4D6CEF78" w:rsidR="00FF7418" w:rsidRDefault="00FF7418">
      <w:pPr>
        <w:pStyle w:val="FootnoteText"/>
      </w:pPr>
      <w:r w:rsidRPr="0045782B">
        <w:rPr>
          <w:rStyle w:val="FootnoteReference"/>
        </w:rPr>
        <w:footnoteRef/>
      </w:r>
      <w:r>
        <w:t xml:space="preserve"> </w:t>
      </w:r>
      <w:r>
        <w:fldChar w:fldCharType="begin"/>
      </w:r>
      <w:r w:rsidR="00040AA7">
        <w:instrText xml:space="preserve"> ADDIN ZOTERO_ITEM CSL_CITATION {"citationID":"0TD0JI90","properties":{"formattedCitation":"University of Southampton and Princeton Climate Institute (n 118).","plainCitation":"University of Southampton and Princeton Climate Institute (n 118).","noteIndex":121},"citationItems":[{"id":3252,"uris":["http://zotero.org/groups/5420386/items/29VV4N97"],"itemData":{"id":3252,"type":"webpage","title":"African Flood and Drought Monitor","URL":"https://hydrology.soton.ac.uk/apps/afdm/","author":[{"literal":"University of Southampton"},{"literal":"Princeton Climate Institute"}],"accessed":{"date-parts":[["2024",8,15]]},"issued":{"date-parts":[["2024"]]}}}],"schema":"https://github.com/citation-style-language/schema/raw/master/csl-citation.json"} </w:instrText>
      </w:r>
      <w:r>
        <w:fldChar w:fldCharType="separate"/>
      </w:r>
      <w:r w:rsidR="00040AA7" w:rsidRPr="00040AA7">
        <w:t>University of Southampton and Princeton Climate Institute (n 118).</w:t>
      </w:r>
      <w:r>
        <w:fldChar w:fldCharType="end"/>
      </w:r>
    </w:p>
  </w:footnote>
  <w:footnote w:id="123">
    <w:p w14:paraId="07FAAFAD" w14:textId="78CFB80C" w:rsidR="00E31692" w:rsidRDefault="00E31692">
      <w:pPr>
        <w:pStyle w:val="FootnoteText"/>
      </w:pPr>
      <w:r w:rsidRPr="0045782B">
        <w:rPr>
          <w:rStyle w:val="FootnoteReference"/>
        </w:rPr>
        <w:footnoteRef/>
      </w:r>
      <w:r>
        <w:t xml:space="preserve"> </w:t>
      </w:r>
      <w:r>
        <w:fldChar w:fldCharType="begin"/>
      </w:r>
      <w:r w:rsidR="00A95B7C">
        <w:instrText xml:space="preserve"> ADDIN ZOTERO_ITEM CSL_CITATION {"citationID":"RTadlTcb","properties":{"formattedCitation":"thevoice, \\uc0\\u8216{}Gambia Gets 4 New Automated Weather Stations\\uc0\\u8217{} (13 July 2021) &lt;https://www.voicegambia.com/2021/07/13/gambia-gets-4-new-automated-weather-stations/&gt;.","plainCitation":"thevoice, ‘Gambia Gets 4 New Automated Weather Stations’ (13 July 2021) &lt;https://www.voicegambia.com/2021/07/13/gambia-gets-4-new-automated-weather-stations/&gt;.","noteIndex":122},"citationItems":[{"id":3352,"uris":["http://zotero.org/groups/5638933/items/4XH5TXY4"],"itemData":{"id":3352,"type":"post-weblog","abstract":"The United Nations World Food Programme (WFP) Wednesday, 30th June, 2021, handed over four automated weather stations to the government…","language":"en-US","title":"Gambia Gets 4 New Automated Weather Stations","URL":"https://www.voicegambia.com/2021/07/13/gambia-gets-4-new-automated-weather-stations/","author":[{"literal":"thevoice"}],"accessed":{"date-parts":[["2024",10,23]]},"issued":{"date-parts":[["2021",7,13]]}}}],"schema":"https://github.com/citation-style-language/schema/raw/master/csl-citation.json"} </w:instrText>
      </w:r>
      <w:r>
        <w:fldChar w:fldCharType="separate"/>
      </w:r>
      <w:r w:rsidRPr="00E31692">
        <w:t>thevoice, ‘Gambia Gets 4 New Automated Weather Stations’ (13 July 2021) &lt;https://www.voicegambia.com/2021/07/13/gambia-gets-4-new-automated-weather-stations/&gt;.</w:t>
      </w:r>
      <w:r>
        <w:fldChar w:fldCharType="end"/>
      </w:r>
    </w:p>
  </w:footnote>
  <w:footnote w:id="124">
    <w:p w14:paraId="49A8B0F2" w14:textId="08D41874" w:rsidR="001B4C14" w:rsidRDefault="001B4C14" w:rsidP="001B4C14">
      <w:pPr>
        <w:pStyle w:val="FootnoteText"/>
      </w:pPr>
      <w:r w:rsidRPr="0045782B">
        <w:rPr>
          <w:rStyle w:val="FootnoteReference"/>
        </w:rPr>
        <w:footnoteRef/>
      </w:r>
      <w:r>
        <w:t xml:space="preserve"> </w:t>
      </w:r>
      <w:r>
        <w:fldChar w:fldCharType="begin"/>
      </w:r>
      <w:r w:rsidR="00A95B7C">
        <w:instrText xml:space="preserve"> ADDIN ZOTERO_ITEM CSL_CITATION {"citationID":"3TJjMXRx","properties":{"formattedCitation":"\\uc0\\u8216{}Homepage - SASSCAL\\uc0\\u8217{} (31 May 2024) &lt;https://sasscal.org/&gt;.","plainCitation":"‘Homepage - SASSCAL’ (31 May 2024) &lt;https://sasscal.org/&gt;.","noteIndex":123},"citationItems":[{"id":2997,"uris":["http://zotero.org/groups/5420386/items/GPZ2VBRY"],"itemData":{"id":2997,"type":"post-weblog","abstract":"[vc_column_inner","language":"en-US","title":"Homepage - SASSCAL","URL":"https://sasscal.org/","accessed":{"date-parts":[["2024",6,5]]},"issued":{"date-parts":[["2024",5,31]]}}}],"schema":"https://github.com/citation-style-language/schema/raw/master/csl-citation.json"} </w:instrText>
      </w:r>
      <w:r>
        <w:fldChar w:fldCharType="separate"/>
      </w:r>
      <w:r w:rsidRPr="004C1A3B">
        <w:t>‘Homepage - SASSCAL’ (31 May 2024) &lt;https://sasscal.org/&gt;.</w:t>
      </w:r>
      <w:r>
        <w:fldChar w:fldCharType="end"/>
      </w:r>
    </w:p>
  </w:footnote>
  <w:footnote w:id="125">
    <w:p w14:paraId="04EE58CB" w14:textId="65E58F2C" w:rsidR="00DE717A" w:rsidRPr="00DE1BD4" w:rsidRDefault="00DE717A">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{"citationID":"XFqKTDFM","properties":{"formattedCitation":"\\uc0\\u8216{}WMO Register of Alerting Authorities\\uc0\\u8217{} (n 41).","plainCitation":"‘WMO Register of Alerting Authorities’ (n 41).","noteIndex":124},"citationItems":[{"id":2908,"uris":["http://zotero.org/groups/5420386/items/46YLIWTS"],"itemData":{"id":2908,"type":"webpage","title":"WMO Register of Alerting Authorities","URL":"https://alertingauthority.wmo.int/","accessed":{"date-parts":[["2024",4,27]]}}}],"schema":"https://github.com/citation-style-language/schema/raw/master/csl-citation.json"} </w:instrText>
      </w:r>
      <w:r w:rsidRPr="00DE1BD4">
        <w:fldChar w:fldCharType="separate"/>
      </w:r>
      <w:r w:rsidR="004B5C9A" w:rsidRPr="004B5C9A">
        <w:t>‘WMO Register of Alerting Authorities’ (n 41).</w:t>
      </w:r>
      <w:r w:rsidRPr="00DE1BD4">
        <w:fldChar w:fldCharType="end"/>
      </w:r>
    </w:p>
  </w:footnote>
  <w:footnote w:id="126">
    <w:p w14:paraId="556C45F1" w14:textId="4044E3CB" w:rsidR="00F328A5" w:rsidRPr="00DE1BD4" w:rsidRDefault="00F328A5" w:rsidP="00F328A5">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{"citationID":"X8F9DiFG","properties":{"formattedCitation":"Eliot Christian, \\uc0\\u8216{}CAP Implementation by Country/Territory\\uc0\\u8217{}.","plainCitation":"Eliot Christian, ‘CAP Implementation by Country/Territory’.","noteIndex":125},"citationItems":[{"id":2902,"uris":["http://zotero.org/groups/5420386/items/UTKA92FZ"],"itemData":{"id":2902,"type":"article-journal","language":"en","source":"Zotero","title":"CAP Implementation by Country/Territory","author":[{"family":"Christian","given":"Eliot"}]}}],"schema":"https://github.com/citation-style-language/schema/raw/master/csl-citation.json"} </w:instrText>
      </w:r>
      <w:r w:rsidRPr="00DE1BD4">
        <w:fldChar w:fldCharType="separate"/>
      </w:r>
      <w:r w:rsidRPr="00DE1BD4">
        <w:t>Eliot Christian, ‘CAP Implementation by Country/Territory’.</w:t>
      </w:r>
      <w:r w:rsidRPr="00DE1BD4">
        <w:fldChar w:fldCharType="end"/>
      </w:r>
    </w:p>
  </w:footnote>
  <w:footnote w:id="127">
    <w:p w14:paraId="44333BA2" w14:textId="4042778D" w:rsidR="007E1C71" w:rsidRDefault="007E1C71">
      <w:pPr>
        <w:pStyle w:val="FootnoteText"/>
      </w:pPr>
      <w:r w:rsidRPr="0045782B">
        <w:rPr>
          <w:rStyle w:val="FootnoteReference"/>
        </w:rPr>
        <w:footnoteRef/>
      </w:r>
      <w:r>
        <w:t xml:space="preserve"> </w:t>
      </w:r>
      <w:r>
        <w:fldChar w:fldCharType="begin"/>
      </w:r>
      <w:r w:rsidR="00A95B7C">
        <w:instrText xml:space="preserve"> ADDIN ZOTERO_ITEM CSL_CITATION {"citationID":"rrOtE4wz","properties":{"formattedCitation":"Alert-Hub, \\uc0\\u8216{}Latest Valid CAP Alerts Received, Country-Gm-City-Swic140-Lang-En\\uc0\\u8217{} (2024) &lt;https://cap-alerts.s3.amazonaws.com/country-gm-city-swic140-lang-en/rss.xml&gt;.","plainCitation":"Alert-Hub, ‘Latest Valid CAP Alerts Received, Country-Gm-City-Swic140-Lang-En’ (2024) &lt;https://cap-alerts.s3.amazonaws.com/country-gm-city-swic140-lang-en/rss.xml&gt;.","noteIndex":126},"citationItems":[{"id":3353,"uris":["http://zotero.org/groups/5638933/items/J76GRLZP"],"itemData":{"id":3353,"type":"webpage","title":"Latest Valid CAP alerts received, country-gm-city-swic140-lang-en","URL":"https://cap-alerts.s3.amazonaws.com/country-gm-city-swic140-lang-en/rss.xml","author":[{"literal":"Alert-Hub"}],"accessed":{"date-parts":[["2024",10,23]]},"issued":{"date-parts":[["2024"]]}}}],"schema":"https://github.com/citation-style-language/schema/raw/master/csl-citation.json"} </w:instrText>
      </w:r>
      <w:r>
        <w:fldChar w:fldCharType="separate"/>
      </w:r>
      <w:r w:rsidRPr="007E1C71">
        <w:t>Alert-Hub, ‘Latest Valid CAP Alerts Received, Country-Gm-City-Swic140-Lang-En’ (2024) &lt;https://cap-alerts.s3.amazonaws.com/country-gm-city-swic140-lang-en/rss.xml&gt;.</w:t>
      </w:r>
      <w:r>
        <w:fldChar w:fldCharType="end"/>
      </w:r>
    </w:p>
  </w:footnote>
  <w:footnote w:id="128">
    <w:p w14:paraId="5B23C506" w14:textId="5B439AA9" w:rsidR="000F426E" w:rsidRPr="00DE1BD4" w:rsidRDefault="000F426E" w:rsidP="000F426E">
      <w:pPr>
        <w:pBdr>
          <w:top w:val="nil"/>
          <w:left w:val="nil"/>
          <w:bottom w:val="nil"/>
          <w:right w:val="nil"/>
          <w:between w:val="nil"/>
        </w:pBdr>
        <w:spacing w:after="0" w:line="240" w:lineRule="auto"/>
        <w:jc w:val="left"/>
        <w:rPr>
          <w:color w:val="000000"/>
          <w:sz w:val="20"/>
          <w:szCs w:val="20"/>
        </w:rPr>
      </w:pPr>
      <w:r w:rsidRPr="0045782B">
        <w:rPr>
          <w:rStyle w:val="FootnoteReference"/>
        </w:rPr>
        <w:footnoteRef/>
      </w:r>
      <w:r w:rsidRPr="00DE1BD4">
        <w:rPr>
          <w:color w:val="000000"/>
          <w:sz w:val="20"/>
          <w:szCs w:val="20"/>
        </w:rPr>
        <w:t xml:space="preserve"> OASIS Common Alerting Protocol Version 1.2, July 1, 2010, </w:t>
      </w:r>
      <w:hyperlink r:id="rId4" w:history="1">
        <w:r w:rsidRPr="00DE1BD4">
          <w:rPr>
            <w:rStyle w:val="Hyperlink"/>
            <w:rFonts w:cstheme="minorHAnsi"/>
            <w:sz w:val="20"/>
            <w:szCs w:val="20"/>
          </w:rPr>
          <w:t>http://docs.oasis-open.org/emergency/cap/v1.2/CAP-v1.2.html</w:t>
        </w:r>
      </w:hyperlink>
      <w:r w:rsidRPr="00DE1BD4">
        <w:rPr>
          <w:color w:val="000000"/>
          <w:sz w:val="20"/>
          <w:szCs w:val="20"/>
        </w:rPr>
        <w:t xml:space="preserve">. </w:t>
      </w:r>
    </w:p>
  </w:footnote>
  <w:footnote w:id="129">
    <w:p w14:paraId="59E275C4" w14:textId="47C41304" w:rsidR="00923811" w:rsidRPr="00DE1BD4" w:rsidRDefault="00923811">
      <w:pPr>
        <w:pStyle w:val="FootnoteText"/>
      </w:pPr>
      <w:r w:rsidRPr="0045782B">
        <w:rPr>
          <w:rStyle w:val="FootnoteReference"/>
        </w:rPr>
        <w:footnoteRef/>
      </w:r>
      <w:r w:rsidRPr="00DE1BD4">
        <w:t xml:space="preserve"> </w:t>
      </w:r>
      <w:r w:rsidRPr="00DE1BD4">
        <w:fldChar w:fldCharType="begin"/>
      </w:r>
      <w:r w:rsidR="00040AA7">
        <w:instrText xml:space="preserve"> ADDIN ZOTERO_ITEM CSL_CITATION {"citationID":"KmpK4Byb","properties":{"formattedCitation":"International Telecommunications Union, \\uc0\\u8216{}Common Alerting Protocol and Call to Action\\uc0\\u8217{}, {\\i{}ITU} (11 December 2021) &lt;https://www.itu.int:443/en/ITU-D/Emergency-Telecommunications/Pages/Common-Alerting-Protocol-and-Call-to-Action.aspx&gt;.","plainCitation":"International Telecommunications Union, ‘Common Alerting Protocol and Call to Action’, ITU (11 December 2021) &lt;https://www.itu.int:443/en/ITU-D/Emergency-Telecommunications/Pages/Common-Alerting-Protocol-and-Call-to-Action.aspx&gt;.","noteIndex":128},"citationItems":[{"id":1403,"uris":["http://zotero.org/groups/4544658/items/RAHLU2G3"],"itemData":{"id":1403,"type":"webpage","container-title":"ITU","language":"en-US","title":"Common Alerting Protocol and Call to Action","URL":"https://www.itu.int:443/en/ITU-D/Emergency-Telecommunications/Pages/Common-Alerting-Protocol-and-Call-to-Action.aspx","author":[{"literal":"International Telecommunications Union"}],"accessed":{"date-parts":[["2021",12,11]]},"issued":{"date-parts":[["2021",12,11]]}}}],"schema":"https://github.com/citation-style-language/schema/raw/master/csl-citation.json"} </w:instrText>
      </w:r>
      <w:r w:rsidRPr="00DE1BD4">
        <w:fldChar w:fldCharType="separate"/>
      </w:r>
      <w:r w:rsidRPr="00DE1BD4">
        <w:rPr>
          <w:szCs w:val="24"/>
        </w:rPr>
        <w:t xml:space="preserve">International Telecommunications Union, ‘Common Alerting Protocol and Call to Action’, </w:t>
      </w:r>
      <w:r w:rsidRPr="00DE1BD4">
        <w:rPr>
          <w:i/>
          <w:iCs/>
          <w:szCs w:val="24"/>
        </w:rPr>
        <w:t>ITU</w:t>
      </w:r>
      <w:r w:rsidRPr="00DE1BD4">
        <w:rPr>
          <w:szCs w:val="24"/>
        </w:rPr>
        <w:t xml:space="preserve"> (11 December 2021) &lt;https://www.itu.int:443/en/ITU-D/Emergency-Telecommunications/Pages/Common-Alerting-Protocol-and-Call-to-Action.aspx&gt;.</w:t>
      </w:r>
      <w:r w:rsidRPr="00DE1BD4">
        <w:fldChar w:fldCharType="end"/>
      </w:r>
    </w:p>
  </w:footnote>
  <w:footnote w:id="130">
    <w:p w14:paraId="75C908F4" w14:textId="20335C15" w:rsidR="006573AB" w:rsidRPr="00DE1BD4" w:rsidRDefault="006573AB">
      <w:pPr>
        <w:pStyle w:val="FootnoteText"/>
      </w:pPr>
      <w:r w:rsidRPr="0045782B">
        <w:rPr>
          <w:rStyle w:val="FootnoteReference"/>
        </w:rPr>
        <w:footnoteRef/>
      </w:r>
      <w:r w:rsidRPr="00DE1BD4">
        <w:t xml:space="preserve"> </w:t>
      </w:r>
      <w:r w:rsidRPr="00DE1BD4">
        <w:fldChar w:fldCharType="begin"/>
      </w:r>
      <w:r w:rsidR="00040AA7">
        <w:instrText xml:space="preserve"> ADDIN ZOTERO_ITEM CSL_CITATION {"citationID":"1vb76UlC","properties":{"formattedCitation":"Ibid.","plainCitation":"Ibid.","noteIndex":129},"citationItems":[{"id":1403,"uris":["http://zotero.org/groups/4544658/items/RAHLU2G3"],"itemData":{"id":1403,"type":"webpage","container-title":"ITU","language":"en-US","title":"Common Alerting Protocol and Call to Action","URL":"https://www.itu.int:443/en/ITU-D/Emergency-Telecommunications/Pages/Common-Alerting-Protocol-and-Call-to-Action.aspx","author":[{"literal":"International Telecommunications Union"}],"accessed":{"date-parts":[["2021",12,11]]},"issued":{"date-parts":[["2021",12,11]]}}}],"schema":"https://github.com/citation-style-language/schema/raw/master/csl-citation.json"} </w:instrText>
      </w:r>
      <w:r w:rsidRPr="00DE1BD4">
        <w:fldChar w:fldCharType="separate"/>
      </w:r>
      <w:r w:rsidRPr="00DE1BD4">
        <w:t>Ibid.</w:t>
      </w:r>
      <w:r w:rsidRPr="00DE1BD4">
        <w:fldChar w:fldCharType="end"/>
      </w:r>
    </w:p>
  </w:footnote>
  <w:footnote w:id="131">
    <w:p w14:paraId="243BA47C" w14:textId="02A83F5B" w:rsidR="00E46CE3" w:rsidRDefault="00E46CE3">
      <w:pPr>
        <w:pStyle w:val="FootnoteText"/>
      </w:pPr>
      <w:r w:rsidRPr="0045782B">
        <w:rPr>
          <w:rStyle w:val="FootnoteReference"/>
        </w:rPr>
        <w:footnoteRef/>
      </w:r>
      <w:r>
        <w:t xml:space="preserve"> </w:t>
      </w:r>
      <w:r>
        <w:fldChar w:fldCharType="begin"/>
      </w:r>
      <w:r w:rsidR="00A95B7C">
        <w:instrText xml:space="preserve"> ADDIN ZOTERO_ITEM CSL_CITATION {"citationID":"84mrGOGi","properties":{"formattedCitation":"Tanzania Meteorological Authority, \\uc0\\u8216{}Latest Alerts from Tanzania Meteorological Authority\\uc0\\u8217{} (2024) &lt;https://cap-sources.s3.amazonaws.com/tz-tma-en/rss.xml&gt;.","plainCitation":"Tanzania Meteorological Authority, ‘Latest Alerts from Tanzania Meteorological Authority’ (2024) &lt;https://cap-sources.s3.amazonaws.com/tz-tma-en/rss.xml&gt;.","noteIndex":130},"citationItems":[{"id":3246,"uris":["http://zotero.org/groups/5420386/items/E9I8V3NW"],"itemData":{"id":3246,"type":"webpage","title":"Latest alerts from Tanzania Meteorological Authority","URL":"https://cap-sources.s3.amazonaws.com/tz-tma-en/rss.xml","author":[{"literal":"Tanzania Meteorological Authority"}],"accessed":{"date-parts":[["2024",8,15]]},"issued":{"date-parts":[["2024"]]}}}],"schema":"https://github.com/citation-style-language/schema/raw/master/csl-citation.json"} </w:instrText>
      </w:r>
      <w:r>
        <w:fldChar w:fldCharType="separate"/>
      </w:r>
      <w:r w:rsidR="00027F5A" w:rsidRPr="00027F5A">
        <w:t>Tanzania Meteorological Authority, ‘Latest Alerts from Tanzania Meteorological Authority’ (2024) &lt;https://cap-sources.s3.amazonaws.com/tz-tma-en/rss.xml&gt;.</w:t>
      </w:r>
      <w:r>
        <w:fldChar w:fldCharType="end"/>
      </w:r>
    </w:p>
  </w:footnote>
  <w:footnote w:id="132">
    <w:p w14:paraId="12CA88A4" w14:textId="6D9368A3" w:rsidR="00CD6014" w:rsidRPr="00DE1BD4" w:rsidRDefault="00CD6014" w:rsidP="00CD6014">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{"citationID":"9HJzLQO1","properties":{"formattedCitation":"\\uc0\\u8216{}Inclusive Public Services for Linguistically Challenged Presented @ CPRsouth2018\\uc0\\u8217{}, {\\i{}Sahana Foundation} (17 September 2018) &lt;https://sahanafoundation.org/inclusive-public-services-for-linguistically-challenged-presented-cprsouth2018/&gt;.","plainCitation":"‘Inclusive Public Services for Linguistically Challenged Presented @ CPRsouth2018’, Sahana Foundation (17 September 2018) &lt;https://sahanafoundation.org/inclusive-public-services-for-linguistically-challenged-presented-cprsouth2018/&gt;.","noteIndex":131},"citationItems":[{"id":1050,"uris":["http://zotero.org/groups/4544658/items/5QWXL9XI"],"itemData":{"id":1050,"type":"webpage","abstract":"Smart Governments, as part of their Smart Cities programs, must include linguistically challenged in public information and services. Pictographs (pictograms or symbology) can play an important rol…","container-title":"Sahana Foundation","language":"en-US","title":"Inclusive Public Services for Linguistically Challenged presented @ CPRsouth2018","URL":"https://sahanafoundation.org/inclusive-public-services-for-linguistically-challenged-presented-cprsouth2018/","accessed":{"date-parts":[["2022",9,30]]},"issued":{"date-parts":[["2018",9,17]]}}}],"schema":"https://github.com/citation-style-language/schema/raw/master/csl-citation.json"} </w:instrText>
      </w:r>
      <w:r w:rsidRPr="00DE1BD4">
        <w:fldChar w:fldCharType="separate"/>
      </w:r>
      <w:r w:rsidRPr="00DE1BD4">
        <w:t xml:space="preserve">‘Inclusive Public Services for Linguistically Challenged Presented @ CPRsouth2018’, </w:t>
      </w:r>
      <w:r w:rsidRPr="00DE1BD4">
        <w:rPr>
          <w:i/>
          <w:iCs/>
        </w:rPr>
        <w:t>Sahana Foundation</w:t>
      </w:r>
      <w:r w:rsidRPr="00DE1BD4">
        <w:t xml:space="preserve"> (17 September 2018) &lt;https://sahanafoundation.org/inclusive-public-services-for-linguistically-challenged-presented-cprsouth2018/&gt;.</w:t>
      </w:r>
      <w:r w:rsidRPr="00DE1BD4">
        <w:fldChar w:fldCharType="end"/>
      </w:r>
    </w:p>
  </w:footnote>
  <w:footnote w:id="133">
    <w:p w14:paraId="022407B5" w14:textId="77777777" w:rsidR="005B31AC" w:rsidRPr="00DE1BD4" w:rsidRDefault="005B31AC" w:rsidP="005B31AC">
      <w:pPr>
        <w:pStyle w:val="FootnoteText"/>
        <w:rPr>
          <w:rFonts w:eastAsiaTheme="minorHAnsi" w:cstheme="minorHAnsi"/>
          <w:lang w:eastAsia="en-US"/>
        </w:rPr>
      </w:pPr>
      <w:r w:rsidRPr="0045782B">
        <w:rPr>
          <w:rStyle w:val="FootnoteReference"/>
        </w:rPr>
        <w:footnoteRef/>
      </w:r>
      <w:r w:rsidRPr="00DE1BD4">
        <w:rPr>
          <w:rFonts w:cstheme="minorHAnsi"/>
        </w:rPr>
        <w:t xml:space="preserve"> ITU. ITU’s annual Facts and Figures report. Available at: </w:t>
      </w:r>
      <w:hyperlink r:id="rId5" w:history="1">
        <w:r w:rsidRPr="00DE1BD4">
          <w:rPr>
            <w:rStyle w:val="Hyperlink"/>
            <w:rFonts w:cstheme="minorHAnsi"/>
          </w:rPr>
          <w:t>https://www.itu.int/itu-d/reports/statistics/2022/11/24/ff22-foreword/</w:t>
        </w:r>
      </w:hyperlink>
    </w:p>
  </w:footnote>
  <w:footnote w:id="134">
    <w:p w14:paraId="3B484C3F" w14:textId="77777777" w:rsidR="005B31AC" w:rsidRPr="00DE1BD4" w:rsidRDefault="005B31AC" w:rsidP="005B31AC">
      <w:pPr>
        <w:shd w:val="clear" w:color="auto" w:fill="FFFFFF"/>
        <w:spacing w:after="0"/>
        <w:rPr>
          <w:rFonts w:cstheme="minorHAnsi"/>
          <w:sz w:val="20"/>
          <w:szCs w:val="20"/>
          <w:shd w:val="clear" w:color="auto" w:fill="FFFFFF"/>
        </w:rPr>
      </w:pPr>
      <w:r w:rsidRPr="0045782B">
        <w:rPr>
          <w:rStyle w:val="FootnoteReference"/>
        </w:rPr>
        <w:footnoteRef/>
      </w:r>
      <w:r w:rsidRPr="00DE1BD4">
        <w:rPr>
          <w:rFonts w:cstheme="minorHAnsi"/>
          <w:sz w:val="20"/>
          <w:szCs w:val="20"/>
        </w:rPr>
        <w:t xml:space="preserve">  </w:t>
      </w:r>
      <w:r w:rsidRPr="00DE1BD4">
        <w:rPr>
          <w:rFonts w:cstheme="minorHAnsi"/>
          <w:sz w:val="20"/>
          <w:szCs w:val="20"/>
          <w:shd w:val="clear" w:color="auto" w:fill="FFFFFF"/>
        </w:rPr>
        <w:t>Ibid.</w:t>
      </w:r>
    </w:p>
  </w:footnote>
  <w:footnote w:id="135">
    <w:p w14:paraId="5FA1EE25" w14:textId="77777777" w:rsidR="005B31AC" w:rsidRPr="00DE1BD4" w:rsidRDefault="005B31AC" w:rsidP="005B31AC">
      <w:pPr>
        <w:shd w:val="clear" w:color="auto" w:fill="FFFFFF"/>
        <w:spacing w:after="0"/>
        <w:rPr>
          <w:rFonts w:eastAsia="Times New Roman" w:cstheme="minorHAnsi"/>
          <w:sz w:val="16"/>
          <w:szCs w:val="16"/>
        </w:rPr>
      </w:pPr>
      <w:r w:rsidRPr="0045782B">
        <w:rPr>
          <w:rStyle w:val="FootnoteReference"/>
        </w:rPr>
        <w:footnoteRef/>
      </w:r>
      <w:r w:rsidRPr="00DE1BD4">
        <w:rPr>
          <w:rFonts w:cstheme="minorHAnsi"/>
          <w:sz w:val="20"/>
          <w:szCs w:val="20"/>
        </w:rPr>
        <w:t xml:space="preserve"> </w:t>
      </w:r>
      <w:r w:rsidRPr="00DE1BD4">
        <w:rPr>
          <w:rFonts w:eastAsia="Times New Roman" w:cstheme="minorHAnsi"/>
          <w:sz w:val="20"/>
          <w:szCs w:val="20"/>
        </w:rPr>
        <w:t>Ibid.</w:t>
      </w:r>
    </w:p>
  </w:footnote>
  <w:footnote w:id="136">
    <w:p w14:paraId="491793C8" w14:textId="4A3153E4" w:rsidR="00385B20" w:rsidRDefault="00385B20">
      <w:pPr>
        <w:pStyle w:val="FootnoteText"/>
      </w:pPr>
      <w:r w:rsidRPr="0045782B">
        <w:rPr>
          <w:rStyle w:val="FootnoteReference"/>
        </w:rPr>
        <w:footnoteRef/>
      </w:r>
      <w:r>
        <w:t xml:space="preserve"> </w:t>
      </w:r>
      <w:r>
        <w:fldChar w:fldCharType="begin"/>
      </w:r>
      <w:r w:rsidR="00A95B7C">
        <w:instrText xml:space="preserve"> ADDIN ZOTERO_ITEM CSL_CITATION {"citationID":"gO7d2R1k","properties":{"formattedCitation":"International Telecommunications Union, \\uc0\\u8216{}Gambia Data - ITU DataHub\\uc0\\u8217{} (2024) &lt;https://datahub.itu.int/data/?e=GMB&amp;Connectivity=Access&gt;.","plainCitation":"International Telecommunications Union, ‘Gambia Data - ITU DataHub’ (2024) &lt;https://datahub.itu.int/data/?e=GMB&amp;Connectivity=Access&gt;.","noteIndex":135},"citationItems":[{"id":3301,"uris":["http://zotero.org/groups/5638933/items/QF5IV3PK"],"itemData":{"id":3301,"type":"webpage","title":"Gambia data - ITU DataHub","URL":"https://datahub.itu.int/data/?e=GMB&amp;Connectivity=Access","author":[{"literal":"International Telecommunications Union"}],"accessed":{"date-parts":[["2024",9,14]]},"issued":{"date-parts":[["2024"]]}}}],"schema":"https://github.com/citation-style-language/schema/raw/master/csl-citation.json"} </w:instrText>
      </w:r>
      <w:r>
        <w:fldChar w:fldCharType="separate"/>
      </w:r>
      <w:r w:rsidRPr="00385B20">
        <w:t>International Telecommunications Union, ‘Gambia Data - ITU DataHub’ (2024) &lt;https://datahub.itu.int/data/?e=GMB&amp;Connectivity=Access&gt;.</w:t>
      </w:r>
      <w:r>
        <w:fldChar w:fldCharType="end"/>
      </w:r>
    </w:p>
  </w:footnote>
  <w:footnote w:id="137">
    <w:p w14:paraId="6239E971" w14:textId="77777777" w:rsidR="005B31AC" w:rsidRPr="00DE1BD4" w:rsidRDefault="005B31AC" w:rsidP="005B31AC">
      <w:pPr>
        <w:spacing w:after="0"/>
        <w:rPr>
          <w:rFonts w:eastAsiaTheme="minorHAnsi" w:cstheme="minorHAnsi"/>
          <w:sz w:val="20"/>
          <w:szCs w:val="20"/>
          <w:lang w:eastAsia="en-US"/>
        </w:rPr>
      </w:pPr>
      <w:r w:rsidRPr="0045782B">
        <w:rPr>
          <w:rStyle w:val="FootnoteReference"/>
        </w:rPr>
        <w:footnoteRef/>
      </w:r>
      <w:r w:rsidRPr="00DE1BD4">
        <w:rPr>
          <w:rFonts w:cstheme="minorHAnsi"/>
          <w:sz w:val="20"/>
          <w:szCs w:val="20"/>
        </w:rPr>
        <w:t xml:space="preserve"> Reliefweb. (2023). Mobile-based Early Warning Systems For effective and inclusive alerting </w:t>
      </w:r>
      <w:r w:rsidRPr="00DE1BD4">
        <w:rPr>
          <w:rFonts w:cstheme="minorHAnsi"/>
          <w:sz w:val="20"/>
          <w:szCs w:val="20"/>
        </w:rPr>
        <w:t xml:space="preserve">Report; </w:t>
      </w:r>
    </w:p>
    <w:p w14:paraId="62BD7262" w14:textId="77777777" w:rsidR="005B31AC" w:rsidRPr="00DE1BD4" w:rsidRDefault="005B31AC" w:rsidP="005B31AC">
      <w:pPr>
        <w:spacing w:after="0"/>
        <w:rPr>
          <w:rStyle w:val="Hyperlink"/>
          <w:rFonts w:eastAsia="Times New Roman"/>
          <w:sz w:val="20"/>
          <w:szCs w:val="20"/>
        </w:rPr>
      </w:pPr>
      <w:r w:rsidRPr="00DE1BD4">
        <w:rPr>
          <w:rFonts w:cstheme="minorHAnsi"/>
          <w:sz w:val="20"/>
          <w:szCs w:val="20"/>
        </w:rPr>
        <w:t>ITU. (2023). Early Warning Systems: Saving lives through mobile connection.</w:t>
      </w:r>
      <w:r w:rsidRPr="00DE1BD4">
        <w:rPr>
          <w:rFonts w:cstheme="minorHAnsi"/>
          <w:b/>
          <w:bCs/>
          <w:sz w:val="20"/>
          <w:szCs w:val="20"/>
        </w:rPr>
        <w:t xml:space="preserve"> </w:t>
      </w:r>
      <w:r w:rsidRPr="00DE1BD4">
        <w:rPr>
          <w:rFonts w:cstheme="minorHAnsi"/>
          <w:sz w:val="20"/>
          <w:szCs w:val="20"/>
        </w:rPr>
        <w:t>Retrieved from:</w:t>
      </w:r>
      <w:r w:rsidRPr="00DE1BD4">
        <w:rPr>
          <w:rFonts w:cstheme="minorHAnsi"/>
          <w:b/>
          <w:bCs/>
          <w:sz w:val="20"/>
          <w:szCs w:val="20"/>
        </w:rPr>
        <w:t xml:space="preserve"> </w:t>
      </w:r>
      <w:hyperlink r:id="rId6" w:history="1">
        <w:r w:rsidRPr="00DE1BD4">
          <w:rPr>
            <w:rStyle w:val="Hyperlink"/>
            <w:rFonts w:eastAsia="Times New Roman" w:cstheme="minorHAnsi"/>
            <w:sz w:val="20"/>
            <w:szCs w:val="20"/>
          </w:rPr>
          <w:t>https://www.itu.int/hub/2023/01/early-warning-systems-mobile-connectivity/</w:t>
        </w:r>
      </w:hyperlink>
      <w:r w:rsidRPr="00DE1BD4">
        <w:rPr>
          <w:rStyle w:val="Hyperlink"/>
          <w:rFonts w:eastAsia="Times New Roman" w:cstheme="minorHAnsi"/>
          <w:sz w:val="20"/>
          <w:szCs w:val="20"/>
        </w:rPr>
        <w:t xml:space="preserve">; and </w:t>
      </w:r>
    </w:p>
    <w:p w14:paraId="18DA0DBE" w14:textId="77777777" w:rsidR="005B31AC" w:rsidRPr="00DE1BD4" w:rsidRDefault="005B31AC" w:rsidP="005B31AC">
      <w:pPr>
        <w:spacing w:after="0"/>
        <w:rPr>
          <w:rFonts w:eastAsiaTheme="minorHAnsi"/>
          <w:b/>
          <w:bCs/>
          <w:sz w:val="20"/>
          <w:szCs w:val="20"/>
          <w:lang w:eastAsia="en-US"/>
        </w:rPr>
      </w:pPr>
      <w:r w:rsidRPr="00DE1BD4">
        <w:rPr>
          <w:rStyle w:val="Hyperlink"/>
          <w:rFonts w:eastAsia="Times New Roman" w:cstheme="minorHAnsi"/>
          <w:sz w:val="20"/>
          <w:szCs w:val="20"/>
        </w:rPr>
        <w:t xml:space="preserve">Everbridge. (2023). </w:t>
      </w:r>
      <w:r w:rsidRPr="00DE1BD4">
        <w:rPr>
          <w:rFonts w:eastAsia="Times New Roman" w:cstheme="minorHAnsi"/>
          <w:sz w:val="20"/>
          <w:szCs w:val="20"/>
        </w:rPr>
        <w:t xml:space="preserve">Location-based SMS: The smarter way to save lives. Retrieved from: </w:t>
      </w:r>
      <w:hyperlink r:id="rId7" w:history="1">
        <w:r w:rsidRPr="00DE1BD4">
          <w:rPr>
            <w:rStyle w:val="Hyperlink"/>
            <w:rFonts w:eastAsia="Times New Roman" w:cstheme="minorHAnsi"/>
            <w:sz w:val="20"/>
            <w:szCs w:val="20"/>
          </w:rPr>
          <w:t>https://www.everbridge.com/blog/location-based-sms/</w:t>
        </w:r>
      </w:hyperlink>
    </w:p>
  </w:footnote>
  <w:footnote w:id="138">
    <w:p w14:paraId="18ECFC80" w14:textId="77777777" w:rsidR="00DD19F8" w:rsidRPr="00DE1BD4" w:rsidRDefault="00DD19F8" w:rsidP="00DD19F8">
      <w:pPr>
        <w:shd w:val="clear" w:color="auto" w:fill="FFFFFF"/>
        <w:spacing w:after="0"/>
        <w:rPr>
          <w:rFonts w:eastAsia="Times New Roman" w:cstheme="minorHAnsi"/>
          <w:sz w:val="20"/>
          <w:szCs w:val="20"/>
        </w:rPr>
      </w:pPr>
      <w:r w:rsidRPr="0045782B">
        <w:rPr>
          <w:rStyle w:val="FootnoteReference"/>
        </w:rPr>
        <w:footnoteRef/>
      </w:r>
      <w:r w:rsidRPr="00DE1BD4">
        <w:rPr>
          <w:rFonts w:cstheme="minorHAnsi"/>
          <w:sz w:val="20"/>
          <w:szCs w:val="20"/>
        </w:rPr>
        <w:t xml:space="preserve"> European Emergency Number Association (EENA). (2019). Public Warning Systems – version 3.0.</w:t>
      </w:r>
    </w:p>
  </w:footnote>
  <w:footnote w:id="139">
    <w:p w14:paraId="569F81C1" w14:textId="77777777" w:rsidR="00DD19F8" w:rsidRPr="00DE1BD4" w:rsidRDefault="00DD19F8" w:rsidP="00DD19F8">
      <w:pPr>
        <w:shd w:val="clear" w:color="auto" w:fill="FFFFFF"/>
        <w:spacing w:after="0"/>
        <w:rPr>
          <w:rFonts w:eastAsia="Times New Roman" w:cstheme="minorHAnsi"/>
          <w:sz w:val="20"/>
          <w:szCs w:val="20"/>
        </w:rPr>
      </w:pPr>
      <w:r w:rsidRPr="0045782B">
        <w:rPr>
          <w:rStyle w:val="FootnoteReference"/>
        </w:rPr>
        <w:footnoteRef/>
      </w:r>
      <w:r w:rsidRPr="00DE1BD4">
        <w:rPr>
          <w:rFonts w:cstheme="minorHAnsi"/>
          <w:sz w:val="20"/>
          <w:szCs w:val="20"/>
        </w:rPr>
        <w:t xml:space="preserve"> Opecode. Opencode Location Based SMS Broadcast. Retrieved from: </w:t>
      </w:r>
      <w:hyperlink r:id="rId8" w:history="1">
        <w:r w:rsidRPr="00DE1BD4">
          <w:rPr>
            <w:rStyle w:val="Hyperlink"/>
            <w:rFonts w:eastAsia="Times New Roman" w:cstheme="minorHAnsi"/>
            <w:sz w:val="20"/>
            <w:szCs w:val="20"/>
          </w:rPr>
          <w:t>https://opencode.com/location-based-sms-lb-sms</w:t>
        </w:r>
      </w:hyperlink>
    </w:p>
  </w:footnote>
  <w:footnote w:id="140">
    <w:p w14:paraId="4041BF5A" w14:textId="77777777" w:rsidR="00DD19F8" w:rsidRPr="00DE1BD4" w:rsidRDefault="00DD19F8" w:rsidP="00DD19F8">
      <w:pPr>
        <w:shd w:val="clear" w:color="auto" w:fill="FFFFFF"/>
        <w:spacing w:after="0"/>
        <w:rPr>
          <w:rFonts w:eastAsiaTheme="minorHAnsi" w:cstheme="minorHAnsi"/>
          <w:sz w:val="20"/>
          <w:szCs w:val="20"/>
          <w:shd w:val="clear" w:color="auto" w:fill="FFFFFF"/>
          <w:lang w:eastAsia="en-US"/>
        </w:rPr>
      </w:pPr>
      <w:r w:rsidRPr="0045782B">
        <w:rPr>
          <w:rStyle w:val="FootnoteReference"/>
        </w:rPr>
        <w:footnoteRef/>
      </w:r>
      <w:r w:rsidRPr="00DE1BD4">
        <w:rPr>
          <w:rFonts w:cstheme="minorHAnsi"/>
          <w:sz w:val="20"/>
          <w:szCs w:val="20"/>
        </w:rPr>
        <w:t xml:space="preserve"> </w:t>
      </w:r>
      <w:r w:rsidRPr="00DE1BD4">
        <w:rPr>
          <w:rFonts w:cstheme="minorHAnsi"/>
          <w:sz w:val="20"/>
          <w:szCs w:val="20"/>
          <w:shd w:val="clear" w:color="auto" w:fill="FFFFFF"/>
        </w:rPr>
        <w:t xml:space="preserve">BEREC. (2020). </w:t>
      </w:r>
      <w:r w:rsidRPr="00DE1BD4">
        <w:rPr>
          <w:rFonts w:cstheme="minorHAnsi"/>
          <w:sz w:val="20"/>
          <w:szCs w:val="20"/>
        </w:rPr>
        <w:t>BEREC Guidelines on how to assess the effectiveness of public warning systems transmitted by different means.</w:t>
      </w:r>
    </w:p>
  </w:footnote>
  <w:footnote w:id="141">
    <w:p w14:paraId="3556AB4D"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w:t>
      </w:r>
      <w:r w:rsidRPr="00DE1BD4">
        <w:rPr>
          <w:rStyle w:val="Hyperlink"/>
          <w:rFonts w:eastAsia="Times New Roman" w:cstheme="minorHAnsi"/>
        </w:rPr>
        <w:t xml:space="preserve">Everbridge. (2023). </w:t>
      </w:r>
      <w:r w:rsidRPr="00DE1BD4">
        <w:rPr>
          <w:rFonts w:eastAsia="Times New Roman" w:cstheme="minorHAnsi"/>
        </w:rPr>
        <w:t xml:space="preserve">Location-based SMS: The smarter way to save lives. Retrieved from: </w:t>
      </w:r>
      <w:hyperlink r:id="rId9" w:history="1">
        <w:r w:rsidRPr="00DE1BD4">
          <w:rPr>
            <w:rStyle w:val="Hyperlink"/>
            <w:rFonts w:eastAsia="Times New Roman" w:cstheme="minorHAnsi"/>
          </w:rPr>
          <w:t>https://www.everbridge.com/blog/location-based-sms/</w:t>
        </w:r>
      </w:hyperlink>
    </w:p>
  </w:footnote>
  <w:footnote w:id="142">
    <w:p w14:paraId="58F66703" w14:textId="77777777" w:rsidR="00DD19F8" w:rsidRPr="00DE1BD4" w:rsidRDefault="00DD19F8" w:rsidP="00DD19F8">
      <w:pPr>
        <w:pStyle w:val="FootnoteText"/>
        <w:rPr>
          <w:rFonts w:cstheme="minorHAnsi"/>
          <w:sz w:val="16"/>
          <w:szCs w:val="16"/>
        </w:rPr>
      </w:pPr>
      <w:r w:rsidRPr="0045782B">
        <w:rPr>
          <w:rStyle w:val="FootnoteReference"/>
        </w:rPr>
        <w:footnoteRef/>
      </w:r>
      <w:r w:rsidRPr="00DE1BD4">
        <w:rPr>
          <w:rFonts w:cstheme="minorHAnsi"/>
        </w:rPr>
        <w:t xml:space="preserve"> European Emergency Number Association (EENA). (2019). Public Warning Systems – version 3.0.</w:t>
      </w:r>
    </w:p>
  </w:footnote>
  <w:footnote w:id="143">
    <w:p w14:paraId="7FDAC736"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w:t>
      </w:r>
      <w:r w:rsidRPr="00DE1BD4">
        <w:rPr>
          <w:rStyle w:val="Hyperlink"/>
          <w:rFonts w:eastAsia="Times New Roman" w:cstheme="minorHAnsi"/>
        </w:rPr>
        <w:t xml:space="preserve">Everbridge. (2023). </w:t>
      </w:r>
      <w:r w:rsidRPr="00DE1BD4">
        <w:rPr>
          <w:rFonts w:eastAsia="Times New Roman" w:cstheme="minorHAnsi"/>
        </w:rPr>
        <w:t xml:space="preserve">Location-based SMS: The smarter way to save lives. Retrieved from: </w:t>
      </w:r>
      <w:hyperlink r:id="rId10" w:history="1">
        <w:r w:rsidRPr="00DE1BD4">
          <w:rPr>
            <w:rStyle w:val="Hyperlink"/>
            <w:rFonts w:eastAsia="Times New Roman" w:cstheme="minorHAnsi"/>
          </w:rPr>
          <w:t>https://www.everbridge.com/blog/location-based-sms/</w:t>
        </w:r>
      </w:hyperlink>
    </w:p>
  </w:footnote>
  <w:footnote w:id="144">
    <w:p w14:paraId="07195CC1"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European Emergency Number Association (EENA). (2019). Public Warning Systems – version 3.0.</w:t>
      </w:r>
    </w:p>
  </w:footnote>
  <w:footnote w:id="145">
    <w:p w14:paraId="73080E95"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Ibid.</w:t>
      </w:r>
    </w:p>
  </w:footnote>
  <w:footnote w:id="146">
    <w:p w14:paraId="17246C5B" w14:textId="77777777" w:rsidR="00DD19F8" w:rsidRPr="00DE1BD4" w:rsidRDefault="00DD19F8" w:rsidP="00DD19F8">
      <w:pPr>
        <w:shd w:val="clear" w:color="auto" w:fill="FFFFFF"/>
        <w:spacing w:after="0"/>
        <w:rPr>
          <w:rFonts w:eastAsia="Times New Roman" w:cstheme="minorHAnsi"/>
          <w:sz w:val="20"/>
          <w:szCs w:val="20"/>
        </w:rPr>
      </w:pPr>
      <w:r w:rsidRPr="0045782B">
        <w:rPr>
          <w:rStyle w:val="FootnoteReference"/>
        </w:rPr>
        <w:footnoteRef/>
      </w:r>
      <w:r w:rsidRPr="00DE1BD4">
        <w:rPr>
          <w:rFonts w:cstheme="minorHAnsi"/>
          <w:sz w:val="20"/>
          <w:szCs w:val="20"/>
        </w:rPr>
        <w:t xml:space="preserve"> GSMA. (2013). Mobile Network Public Warning Systems and the Rise of Cell-Broadcast.</w:t>
      </w:r>
    </w:p>
  </w:footnote>
  <w:footnote w:id="147">
    <w:p w14:paraId="6B5DAD35" w14:textId="77777777" w:rsidR="00DD19F8" w:rsidRPr="00DE1BD4" w:rsidRDefault="00DD19F8" w:rsidP="00DD19F8">
      <w:pPr>
        <w:pStyle w:val="FootnoteText"/>
        <w:rPr>
          <w:rFonts w:eastAsiaTheme="minorHAnsi" w:cstheme="minorHAnsi"/>
          <w:lang w:eastAsia="en-US"/>
        </w:rPr>
      </w:pPr>
      <w:r w:rsidRPr="0045782B">
        <w:rPr>
          <w:rStyle w:val="FootnoteReference"/>
        </w:rPr>
        <w:footnoteRef/>
      </w:r>
      <w:r w:rsidRPr="00DE1BD4">
        <w:rPr>
          <w:rFonts w:cstheme="minorHAnsi"/>
        </w:rPr>
        <w:t xml:space="preserve"> </w:t>
      </w:r>
      <w:r w:rsidRPr="00DE1BD4">
        <w:rPr>
          <w:rFonts w:cstheme="minorHAnsi"/>
          <w:shd w:val="clear" w:color="auto" w:fill="FFFFFF"/>
        </w:rPr>
        <w:t xml:space="preserve">BEREC. (2020). </w:t>
      </w:r>
      <w:r w:rsidRPr="00DE1BD4">
        <w:rPr>
          <w:rFonts w:cstheme="minorHAnsi"/>
        </w:rPr>
        <w:t>BEREC Guidelines on how to assess the effectiveness of public warning systems transmitted by different means.</w:t>
      </w:r>
    </w:p>
  </w:footnote>
  <w:footnote w:id="148">
    <w:p w14:paraId="03CAB568"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Ibid.</w:t>
      </w:r>
    </w:p>
  </w:footnote>
  <w:footnote w:id="149">
    <w:p w14:paraId="129E00AB"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GSMA. (2013). Mobile Network Public Warning Systems and the Rise of Cell-Broadcast.</w:t>
      </w:r>
    </w:p>
  </w:footnote>
  <w:footnote w:id="150">
    <w:p w14:paraId="528C6834" w14:textId="77777777" w:rsidR="00DD19F8" w:rsidRPr="00DE1BD4" w:rsidRDefault="00DD19F8" w:rsidP="00DD19F8">
      <w:pPr>
        <w:pStyle w:val="FootnoteText"/>
        <w:rPr>
          <w:rFonts w:cstheme="minorHAnsi"/>
        </w:rPr>
      </w:pPr>
      <w:r w:rsidRPr="0045782B">
        <w:rPr>
          <w:rStyle w:val="FootnoteReference"/>
        </w:rPr>
        <w:footnoteRef/>
      </w:r>
      <w:r w:rsidRPr="00DE1BD4">
        <w:rPr>
          <w:rFonts w:cstheme="minorHAnsi"/>
        </w:rPr>
        <w:t xml:space="preserve"> Ibid.</w:t>
      </w:r>
    </w:p>
  </w:footnote>
  <w:footnote w:id="151">
    <w:p w14:paraId="6F8662B0" w14:textId="77777777" w:rsidR="00DD19F8" w:rsidRPr="00DE1BD4" w:rsidRDefault="00DD19F8" w:rsidP="00DD19F8">
      <w:pPr>
        <w:pStyle w:val="FootnoteText"/>
        <w:rPr>
          <w:rFonts w:cstheme="minorHAnsi"/>
          <w:sz w:val="16"/>
          <w:szCs w:val="16"/>
        </w:rPr>
      </w:pPr>
      <w:r w:rsidRPr="0045782B">
        <w:rPr>
          <w:rStyle w:val="FootnoteReference"/>
        </w:rPr>
        <w:footnoteRef/>
      </w:r>
      <w:r w:rsidRPr="00DE1BD4">
        <w:rPr>
          <w:rFonts w:cstheme="minorHAnsi"/>
        </w:rPr>
        <w:t xml:space="preserve"> </w:t>
      </w:r>
      <w:r w:rsidRPr="00DE1BD4">
        <w:rPr>
          <w:rStyle w:val="Hyperlink"/>
          <w:rFonts w:eastAsia="Times New Roman" w:cstheme="minorHAnsi"/>
        </w:rPr>
        <w:t xml:space="preserve">Everbridge. (2023). </w:t>
      </w:r>
      <w:r w:rsidRPr="00DE1BD4">
        <w:rPr>
          <w:rFonts w:eastAsia="Times New Roman" w:cstheme="minorHAnsi"/>
        </w:rPr>
        <w:t xml:space="preserve">Location-based SMS: The smarter way to save lives. Retrieved from: </w:t>
      </w:r>
      <w:hyperlink r:id="rId11" w:history="1">
        <w:r w:rsidRPr="00DE1BD4">
          <w:rPr>
            <w:rStyle w:val="Hyperlink"/>
            <w:rFonts w:eastAsia="Times New Roman" w:cstheme="minorHAnsi"/>
          </w:rPr>
          <w:t>https://www.everbridge.com/blog/location-based-sms/</w:t>
        </w:r>
      </w:hyperlink>
    </w:p>
  </w:footnote>
  <w:footnote w:id="152">
    <w:p w14:paraId="14C2CF64" w14:textId="77777777" w:rsidR="00C94370" w:rsidRPr="00DE1BD4" w:rsidRDefault="00C94370" w:rsidP="00C94370">
      <w:pPr>
        <w:shd w:val="clear" w:color="auto" w:fill="FFFFFF"/>
        <w:spacing w:after="0"/>
        <w:rPr>
          <w:rFonts w:asciiTheme="minorHAnsi" w:eastAsia="Times New Roman" w:hAnsiTheme="minorHAnsi" w:cstheme="minorHAnsi"/>
          <w:sz w:val="20"/>
          <w:szCs w:val="20"/>
        </w:rPr>
      </w:pPr>
      <w:r w:rsidRPr="0045782B">
        <w:rPr>
          <w:rStyle w:val="FootnoteReference"/>
        </w:rPr>
        <w:footnoteRef/>
      </w:r>
      <w:r w:rsidRPr="00DE1BD4">
        <w:rPr>
          <w:rFonts w:cstheme="minorHAnsi"/>
          <w:sz w:val="20"/>
          <w:szCs w:val="20"/>
        </w:rPr>
        <w:t xml:space="preserve"> </w:t>
      </w:r>
      <w:r w:rsidRPr="00DE1BD4">
        <w:rPr>
          <w:rFonts w:cstheme="minorHAnsi"/>
          <w:sz w:val="20"/>
          <w:szCs w:val="20"/>
          <w:shd w:val="clear" w:color="auto" w:fill="FFFFFF"/>
        </w:rPr>
        <w:t xml:space="preserve">BEREC. (2020). </w:t>
      </w:r>
      <w:r w:rsidRPr="00DE1BD4">
        <w:rPr>
          <w:rFonts w:cstheme="minorHAnsi"/>
          <w:sz w:val="20"/>
          <w:szCs w:val="20"/>
        </w:rPr>
        <w:t>BEREC Guidelines on how to assess the effectiveness of public warning systems transmitted by different means.</w:t>
      </w:r>
    </w:p>
  </w:footnote>
  <w:footnote w:id="153">
    <w:p w14:paraId="109AE31B" w14:textId="77777777" w:rsidR="00C94370" w:rsidRPr="00DE1BD4" w:rsidRDefault="00C94370" w:rsidP="00C94370">
      <w:pPr>
        <w:shd w:val="clear" w:color="auto" w:fill="FFFFFF"/>
        <w:spacing w:after="0"/>
        <w:rPr>
          <w:rFonts w:eastAsia="Times New Roman" w:cstheme="minorHAnsi"/>
          <w:sz w:val="20"/>
          <w:szCs w:val="20"/>
        </w:rPr>
      </w:pPr>
      <w:r w:rsidRPr="0045782B">
        <w:rPr>
          <w:rStyle w:val="FootnoteReference"/>
        </w:rPr>
        <w:footnoteRef/>
      </w:r>
      <w:r w:rsidRPr="00DE1BD4">
        <w:rPr>
          <w:rFonts w:cstheme="minorHAnsi"/>
          <w:sz w:val="20"/>
          <w:szCs w:val="20"/>
        </w:rPr>
        <w:t xml:space="preserve"> European Emergency Number Association (EENA). (2019). Public Warning Systems – version 3.0.</w:t>
      </w:r>
    </w:p>
  </w:footnote>
  <w:footnote w:id="154">
    <w:p w14:paraId="210749FE" w14:textId="77777777" w:rsidR="00C94370" w:rsidRPr="00DE1BD4" w:rsidRDefault="00C94370" w:rsidP="00C94370">
      <w:pPr>
        <w:shd w:val="clear" w:color="auto" w:fill="FFFFFF"/>
        <w:spacing w:after="0"/>
        <w:rPr>
          <w:rFonts w:eastAsia="Times New Roman" w:cstheme="minorHAnsi"/>
          <w:sz w:val="20"/>
          <w:szCs w:val="20"/>
        </w:rPr>
      </w:pPr>
      <w:r w:rsidRPr="0045782B">
        <w:rPr>
          <w:rStyle w:val="FootnoteReference"/>
        </w:rPr>
        <w:footnoteRef/>
      </w:r>
      <w:r w:rsidRPr="00DE1BD4">
        <w:rPr>
          <w:rFonts w:cstheme="minorHAnsi"/>
          <w:sz w:val="20"/>
          <w:szCs w:val="20"/>
        </w:rPr>
        <w:t xml:space="preserve"> European Emergency Number Association (EENA). (2019). Public Warning Systems – version 3.0.</w:t>
      </w:r>
    </w:p>
  </w:footnote>
  <w:footnote w:id="155">
    <w:p w14:paraId="2FAE5E2E" w14:textId="77777777" w:rsidR="00C94370" w:rsidRPr="00DE1BD4" w:rsidRDefault="00C94370" w:rsidP="00C94370">
      <w:pPr>
        <w:pStyle w:val="FootnoteText"/>
        <w:rPr>
          <w:rFonts w:eastAsiaTheme="minorHAnsi" w:cstheme="minorHAnsi"/>
          <w:lang w:eastAsia="en-US"/>
        </w:rPr>
      </w:pPr>
      <w:r w:rsidRPr="0045782B">
        <w:rPr>
          <w:rStyle w:val="FootnoteReference"/>
        </w:rPr>
        <w:footnoteRef/>
      </w:r>
      <w:r w:rsidRPr="00DE1BD4">
        <w:rPr>
          <w:rFonts w:cstheme="minorHAnsi"/>
        </w:rPr>
        <w:t xml:space="preserve"> GSMA. (2013). Mobile Network Public Warning Systems and the Rise of Cell-Broadcast.</w:t>
      </w:r>
    </w:p>
  </w:footnote>
  <w:footnote w:id="156">
    <w:p w14:paraId="4F5FDA6F"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Ibid.</w:t>
      </w:r>
    </w:p>
  </w:footnote>
  <w:footnote w:id="157">
    <w:p w14:paraId="2B4BB85B"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w:t>
      </w:r>
      <w:r w:rsidRPr="00DE1BD4">
        <w:rPr>
          <w:rFonts w:cstheme="minorHAnsi"/>
          <w:shd w:val="clear" w:color="auto" w:fill="FFFFFF"/>
        </w:rPr>
        <w:t xml:space="preserve">BEREC. (2020). </w:t>
      </w:r>
      <w:r w:rsidRPr="00DE1BD4">
        <w:rPr>
          <w:rFonts w:cstheme="minorHAnsi"/>
        </w:rPr>
        <w:t>BEREC Guidelines on how to assess the effectiveness of public warning systems transmitted by different means.</w:t>
      </w:r>
    </w:p>
  </w:footnote>
  <w:footnote w:id="158">
    <w:p w14:paraId="12EC4158"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European Emergency Number Association (EENA). (2019). Public Warning Systems – version 3.0.</w:t>
      </w:r>
    </w:p>
  </w:footnote>
  <w:footnote w:id="159">
    <w:p w14:paraId="0C938EFC"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Ibid.</w:t>
      </w:r>
    </w:p>
  </w:footnote>
  <w:footnote w:id="160">
    <w:p w14:paraId="13E10E00"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One2Many. Why cell broadcast is more Important than ever for Emergency alerting!</w:t>
      </w:r>
    </w:p>
  </w:footnote>
  <w:footnote w:id="161">
    <w:p w14:paraId="3BE2CF2C"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GSMA. (2013). Mobile Network Public Warning Systems and the Rise of Cell-Broadcast.</w:t>
      </w:r>
    </w:p>
  </w:footnote>
  <w:footnote w:id="162">
    <w:p w14:paraId="0732952B"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European Emergency Number Association (EENA). (2019). Public Warning Systems – version 3.0.</w:t>
      </w:r>
    </w:p>
  </w:footnote>
  <w:footnote w:id="163">
    <w:p w14:paraId="3A913F5B"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w:t>
      </w:r>
      <w:r w:rsidRPr="00DE1BD4">
        <w:rPr>
          <w:rStyle w:val="Hyperlink"/>
          <w:rFonts w:eastAsia="Times New Roman" w:cstheme="minorHAnsi"/>
        </w:rPr>
        <w:t xml:space="preserve">Everbridge. (2023). </w:t>
      </w:r>
      <w:r w:rsidRPr="00DE1BD4">
        <w:rPr>
          <w:rFonts w:eastAsia="Times New Roman" w:cstheme="minorHAnsi"/>
        </w:rPr>
        <w:t xml:space="preserve">Location-based SMS: The smarter way to save lives. Retrieved from: </w:t>
      </w:r>
      <w:hyperlink r:id="rId12" w:history="1">
        <w:r w:rsidRPr="00DE1BD4">
          <w:rPr>
            <w:rStyle w:val="Hyperlink"/>
            <w:rFonts w:eastAsia="Times New Roman" w:cstheme="minorHAnsi"/>
          </w:rPr>
          <w:t>https://www.everbridge.com/blog/location-based-sms/</w:t>
        </w:r>
      </w:hyperlink>
    </w:p>
  </w:footnote>
  <w:footnote w:id="164">
    <w:p w14:paraId="71384A64"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One2Many. Why cell broadcast is more Important than ever for Emergency alerting!</w:t>
      </w:r>
    </w:p>
  </w:footnote>
  <w:footnote w:id="165">
    <w:p w14:paraId="044BBE4C" w14:textId="16125EC1" w:rsidR="00EE2B76" w:rsidRDefault="00EE2B76">
      <w:pPr>
        <w:pStyle w:val="FootnoteText"/>
      </w:pPr>
      <w:r w:rsidRPr="0045782B">
        <w:rPr>
          <w:rStyle w:val="FootnoteReference"/>
        </w:rPr>
        <w:footnoteRef/>
      </w:r>
      <w:r>
        <w:t xml:space="preserve"> </w:t>
      </w:r>
      <w:r w:rsidR="005E6E35">
        <w:t>Source: ITU, based on One2Many</w:t>
      </w:r>
    </w:p>
  </w:footnote>
  <w:footnote w:id="166">
    <w:p w14:paraId="438DEFEA" w14:textId="77777777" w:rsidR="00C94370" w:rsidRPr="00DE1BD4" w:rsidRDefault="00C94370" w:rsidP="00C94370">
      <w:pPr>
        <w:pStyle w:val="FootnoteText"/>
        <w:rPr>
          <w:rFonts w:cstheme="minorHAnsi"/>
        </w:rPr>
      </w:pPr>
      <w:r w:rsidRPr="0045782B">
        <w:rPr>
          <w:rStyle w:val="FootnoteReference"/>
        </w:rPr>
        <w:footnoteRef/>
      </w:r>
      <w:r w:rsidRPr="00DE1BD4">
        <w:rPr>
          <w:rFonts w:cstheme="minorHAnsi"/>
        </w:rPr>
        <w:t xml:space="preserve"> </w:t>
      </w:r>
      <w:r w:rsidRPr="00DE1BD4">
        <w:rPr>
          <w:rFonts w:cstheme="minorHAnsi"/>
          <w:shd w:val="clear" w:color="auto" w:fill="FFFFFF"/>
        </w:rPr>
        <w:t xml:space="preserve">The EU legislation, nonetheless, only requires implementing at least one of the two technologies. See: </w:t>
      </w:r>
      <w:hyperlink r:id="rId13" w:history="1">
        <w:r w:rsidRPr="00DE1BD4">
          <w:rPr>
            <w:rStyle w:val="Hyperlink"/>
            <w:rFonts w:eastAsia="Times New Roman" w:cstheme="minorHAnsi"/>
          </w:rPr>
          <w:t>https://www.berec.europa.eu/en/document-categories/berec/regulatory-best-practices/guidelines/berec-guidelines-on-how-to-assess-the-effectiveness-of-public-warning-systems-transmitted-by-different-means-0</w:t>
        </w:r>
      </w:hyperlink>
    </w:p>
  </w:footnote>
  <w:footnote w:id="167">
    <w:p w14:paraId="0867BF72" w14:textId="77777777" w:rsidR="00337C7F" w:rsidRPr="00880CF2" w:rsidRDefault="00337C7F" w:rsidP="00337C7F">
      <w:pPr>
        <w:pBdr>
          <w:top w:val="nil"/>
          <w:left w:val="nil"/>
          <w:bottom w:val="nil"/>
          <w:right w:val="nil"/>
          <w:between w:val="nil"/>
        </w:pBdr>
        <w:spacing w:after="0" w:line="240" w:lineRule="auto"/>
        <w:jc w:val="left"/>
        <w:rPr>
          <w:color w:val="000000"/>
          <w:sz w:val="20"/>
          <w:szCs w:val="20"/>
        </w:rPr>
      </w:pPr>
      <w:r w:rsidRPr="0045782B">
        <w:rPr>
          <w:rStyle w:val="FootnoteReference"/>
        </w:rPr>
        <w:footnoteRef/>
      </w:r>
      <w:r w:rsidRPr="00880CF2">
        <w:rPr>
          <w:color w:val="000000"/>
          <w:sz w:val="20"/>
          <w:szCs w:val="20"/>
        </w:rPr>
        <w:t xml:space="preserve"> United States Department of Homeland Security (2014), </w:t>
      </w:r>
      <w:r w:rsidRPr="00880CF2">
        <w:rPr>
          <w:i/>
          <w:color w:val="000000"/>
          <w:sz w:val="20"/>
          <w:szCs w:val="20"/>
        </w:rPr>
        <w:t>National Emergency Communications Plan.</w:t>
      </w:r>
    </w:p>
  </w:footnote>
  <w:footnote w:id="168">
    <w:p w14:paraId="6BAD0E1B" w14:textId="77777777" w:rsidR="002D721D" w:rsidRPr="00880CF2" w:rsidRDefault="002D721D" w:rsidP="002D721D">
      <w:pPr>
        <w:spacing w:after="0"/>
        <w:jc w:val="left"/>
        <w:rPr>
          <w:sz w:val="20"/>
          <w:szCs w:val="20"/>
        </w:rPr>
      </w:pPr>
      <w:r w:rsidRPr="0045782B">
        <w:rPr>
          <w:rStyle w:val="FootnoteReference"/>
        </w:rPr>
        <w:footnoteRef/>
      </w:r>
      <w:r w:rsidRPr="00880CF2">
        <w:rPr>
          <w:sz w:val="20"/>
          <w:szCs w:val="20"/>
        </w:rPr>
        <w:t xml:space="preserve"> These documents can be consulted in the following links: </w:t>
      </w:r>
      <w:hyperlink r:id="rId14" w:history="1">
        <w:r w:rsidRPr="00880CF2">
          <w:rPr>
            <w:rStyle w:val="Hyperlink"/>
            <w:sz w:val="20"/>
            <w:szCs w:val="20"/>
          </w:rPr>
          <w:t>https://www.itu.int/en/ITU-D/Emergency-Telecommunications/Documents/Publications/2020/TTX_Guide.pdf</w:t>
        </w:r>
      </w:hyperlink>
    </w:p>
    <w:p w14:paraId="69030A8E" w14:textId="77777777" w:rsidR="002D721D" w:rsidRPr="00880CF2" w:rsidRDefault="002D721D" w:rsidP="002D721D">
      <w:pPr>
        <w:spacing w:after="0"/>
        <w:jc w:val="left"/>
        <w:rPr>
          <w:sz w:val="20"/>
          <w:szCs w:val="20"/>
        </w:rPr>
      </w:pPr>
      <w:hyperlink r:id="rId15" w:history="1">
        <w:r w:rsidRPr="00880CF2">
          <w:rPr>
            <w:rStyle w:val="Hyperlink"/>
            <w:sz w:val="20"/>
            <w:szCs w:val="20"/>
          </w:rPr>
          <w:t>https://academy.itu.int/index.php/training-courses/full-catalogue/practical-disaster-response-how-develop-table-top-simulation-exercises-ttx</w:t>
        </w:r>
      </w:hyperlink>
    </w:p>
  </w:footnote>
  <w:footnote w:id="169">
    <w:p w14:paraId="51EB0F80" w14:textId="410981DC" w:rsidR="00C447A7" w:rsidRPr="00DE1BD4" w:rsidRDefault="00C447A7" w:rsidP="00C447A7">
      <w:pPr>
        <w:pStyle w:val="FootnoteText"/>
      </w:pPr>
      <w:r w:rsidRPr="0045782B">
        <w:rPr>
          <w:rStyle w:val="FootnoteReference"/>
        </w:rPr>
        <w:footnoteRef/>
      </w:r>
      <w:r w:rsidRPr="00880CF2">
        <w:t xml:space="preserve"> </w:t>
      </w:r>
      <w:r w:rsidRPr="00880CF2">
        <w:fldChar w:fldCharType="begin"/>
      </w:r>
      <w:r w:rsidR="00A95B7C">
        <w:instrText xml:space="preserve"> ADDIN ZOTERO_ITEM CSL_CITATION {"citationID":"WoXbiccc","properties":{"formattedCitation":"\\uc0\\u8216{}Course: Common Alerting Protocol: CAP Basics\\uc0\\u8217{} &lt;https://etrp.wmo.int/course/view.php?id=157&gt;.","plainCitation":"‘Course: Common Alerting Protocol: CAP Basics’ &lt;https://etrp.wmo.int/course/view.php?id=157&gt;.","noteIndex":168},"citationItems":[{"id":1763,"uris":["http://zotero.org/groups/4544658/items/WX49PIK3"],"itemData":{"id":1763,"type":"webpage","title":"Course: Common Alerting Protocol: CAP Basics","URL":"https://etrp.wmo.int/course/view.php?id=157","accessed":{"date-parts":[["2022",10,12]]}}}],"schema":"https://github.com/citation-style-language/schema/raw/master/csl-citation.json"} </w:instrText>
      </w:r>
      <w:r w:rsidRPr="00880CF2">
        <w:fldChar w:fldCharType="separate"/>
      </w:r>
      <w:r w:rsidRPr="00880CF2">
        <w:t>‘Course: Common Alerting Protocol: CAP Basics’ &lt;https://etrp.wmo.int/course/view.php?id=157&gt;.</w:t>
      </w:r>
      <w:r w:rsidRPr="00880CF2">
        <w:fldChar w:fldCharType="end"/>
      </w:r>
    </w:p>
  </w:footnote>
  <w:footnote w:id="170">
    <w:p w14:paraId="7A4590FA" w14:textId="1FDB48D3" w:rsidR="00F462AE" w:rsidRPr="00DE1BD4" w:rsidRDefault="00F462AE">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{"citationID":"iXMvyl36","properties":{"formattedCitation":"{\\i{}Summary Report GP2022} (International Institute for Sustainable Development, May 2022) &lt;https://globalplatform.undrr.org/news/23-28-may-2022-summary-report-gp2022&gt;.","plainCitation":"Summary Report GP2022 (International Institute for Sustainable Development, May 2022) &lt;https://globalplatform.undrr.org/news/23-28-may-2022-summary-report-gp2022&gt;.","noteIndex":169},"citationItems":[{"id":1584,"uris":["http://zotero.org/groups/4544658/items/PLTKIKIY"],"itemData":{"id":1584,"type":"report","abstract":"In a world challenged by natural hazards that are increasing in frequency and intensity, the seventh session of the Global Platform on Disaster Risk Reduction 2022 (GP2022) could not be taking place at a more important moment.","language":"en","publisher":"International Institute for Sustainable Development","title":"Summary report GP2022","URL":"https://globalplatform.undrr.org/news/23-28-may-2022-summary-report-gp2022","accessed":{"date-parts":[["2022",7,31]]},"issued":{"date-parts":[["2022",5]]}}}],"schema":"https://github.com/citation-style-language/schema/raw/master/csl-citation.json"} </w:instrText>
      </w:r>
      <w:r w:rsidRPr="00DE1BD4">
        <w:fldChar w:fldCharType="separate"/>
      </w:r>
      <w:r w:rsidRPr="00DE1BD4">
        <w:rPr>
          <w:i/>
          <w:iCs/>
          <w:szCs w:val="24"/>
        </w:rPr>
        <w:t>Summary Report GP2022</w:t>
      </w:r>
      <w:r w:rsidRPr="00DE1BD4">
        <w:rPr>
          <w:szCs w:val="24"/>
        </w:rPr>
        <w:t xml:space="preserve"> (International Institute for Sustainable Development, May 2022) &lt;https://globalplatform.undrr.org/news/23-28-may-2022-summary-report-gp2022&gt;.</w:t>
      </w:r>
      <w:r w:rsidRPr="00DE1BD4">
        <w:fldChar w:fldCharType="end"/>
      </w:r>
    </w:p>
  </w:footnote>
  <w:footnote w:id="171">
    <w:p w14:paraId="51248B7D" w14:textId="77777777" w:rsidR="0077223F" w:rsidRPr="00DE1BD4" w:rsidRDefault="0077223F" w:rsidP="00D149AA">
      <w:pPr>
        <w:pBdr>
          <w:top w:val="nil"/>
          <w:left w:val="nil"/>
          <w:bottom w:val="nil"/>
          <w:right w:val="nil"/>
          <w:between w:val="nil"/>
        </w:pBdr>
        <w:spacing w:after="0" w:line="240" w:lineRule="auto"/>
        <w:jc w:val="left"/>
        <w:rPr>
          <w:color w:val="000000"/>
          <w:sz w:val="18"/>
        </w:rPr>
      </w:pPr>
      <w:r w:rsidRPr="0045782B">
        <w:rPr>
          <w:rStyle w:val="FootnoteReference"/>
        </w:rPr>
        <w:footnoteRef/>
      </w:r>
      <w:r w:rsidRPr="00DE1BD4">
        <w:rPr>
          <w:color w:val="000000"/>
          <w:sz w:val="18"/>
        </w:rPr>
        <w:t xml:space="preserve"> Id.</w:t>
      </w:r>
    </w:p>
  </w:footnote>
  <w:footnote w:id="172">
    <w:p w14:paraId="3EA98090" w14:textId="5FE03730" w:rsidR="0086547B" w:rsidRPr="00DE1BD4" w:rsidRDefault="0086547B" w:rsidP="0086547B">
      <w:pPr>
        <w:pStyle w:val="FootnoteText"/>
      </w:pPr>
      <w:r w:rsidRPr="0045782B">
        <w:rPr>
          <w:rStyle w:val="FootnoteReference"/>
        </w:rPr>
        <w:footnoteRef/>
      </w:r>
      <w:r w:rsidRPr="00DE1BD4">
        <w:t xml:space="preserve"> </w:t>
      </w:r>
      <w:r w:rsidRPr="00DE1BD4">
        <w:fldChar w:fldCharType="begin"/>
      </w:r>
      <w:r w:rsidR="00A95B7C">
        <w:instrText xml:space="preserve"> ADDIN ZOTERO_ITEM CSL_CITATION {"citationID":"2uu2WtUT","properties":{"formattedCitation":"Cybersecurity and Infrastructure Security Agency, \\uc0\\u8216{}National Emergency Communications Plan\\uc0\\u8217{}.","plainCitation":"Cybersecurity and Infrastructure Security Agency, ‘National Emergency Communications Plan’.","noteIndex":171},"citationItems":[{"id":1356,"uris":["http://zotero.org/groups/4544658/items/HQF2Z4PC"],"itemData":{"id":1356,"type":"document","publisher":"Department of Homeland Security","title":"National Emergency Communications Plan","author":[{"literal":"Cybersecurity and Infrastructure Security Agency"}],"issued":{"date-parts":[["2019"]],"season":"Spetember"}}}],"schema":"https://github.com/citation-style-language/schema/raw/master/csl-citation.json"} </w:instrText>
      </w:r>
      <w:r w:rsidRPr="00DE1BD4">
        <w:fldChar w:fldCharType="separate"/>
      </w:r>
      <w:r w:rsidRPr="00DE1BD4">
        <w:t>Cybersecurity and Infrastructure Security Agency, ‘National Emergency Communications Plan’.</w:t>
      </w:r>
      <w:r w:rsidRPr="00DE1BD4">
        <w:fldChar w:fldCharType="end"/>
      </w:r>
    </w:p>
  </w:footnote>
  <w:footnote w:id="173">
    <w:p w14:paraId="6A9D92E8" w14:textId="06CFD722" w:rsidR="0086547B" w:rsidRPr="00DE1BD4" w:rsidRDefault="0086547B" w:rsidP="0086547B">
      <w:pPr>
        <w:pStyle w:val="FootnoteText"/>
      </w:pPr>
      <w:r w:rsidRPr="0045782B">
        <w:rPr>
          <w:rStyle w:val="FootnoteReference"/>
        </w:rPr>
        <w:footnoteRef/>
      </w:r>
      <w:r w:rsidRPr="00DE1BD4">
        <w:t xml:space="preserve"> </w:t>
      </w:r>
      <w:r w:rsidRPr="00DE1BD4">
        <w:fldChar w:fldCharType="begin"/>
      </w:r>
      <w:r w:rsidR="00040AA7">
        <w:instrText xml:space="preserve"> ADDIN ZOTERO_ITEM CSL_CITATION {"citationID":"n8wd3kT5","properties":{"formattedCitation":"\\uc0\\u8216{}Standard Operating Procedures (SOPs) | CISA\\uc0\\u8217{} &lt;https://www.cisa.gov/safecom/sops&gt;.","plainCitation":"‘Standard Operating Procedures (SOPs) | CISA’ &lt;https://www.cisa.gov/safecom/sops&gt;.","noteIndex":172},"citationItems":[{"id":2953,"uris":["http://zotero.org/groups/5420386/items/YVEKQ7FE"],"itemData":{"id":2953,"type":"webpage","abstract":"Guidance on creating Standard Operating Procedures that can assist in coordinating incident response.","language":"en","title":"Standard Operating Procedures (SOPs) | CISA","URL":"https://www.cisa.gov/safecom/sops","accessed":{"date-parts":[["2024",5,30]]}}}],"schema":"https://github.com/citation-style-language/schema/raw/master/csl-citation.json"} </w:instrText>
      </w:r>
      <w:r w:rsidRPr="00DE1BD4">
        <w:fldChar w:fldCharType="separate"/>
      </w:r>
      <w:r w:rsidRPr="00DE1BD4">
        <w:t>‘Standard Operating Procedures (SOPs) | CISA’ &lt;https://www.cisa.gov/safecom/sops&gt;.</w:t>
      </w:r>
      <w:r w:rsidRPr="00DE1BD4">
        <w:fldChar w:fldCharType="end"/>
      </w:r>
    </w:p>
  </w:footnote>
  <w:footnote w:id="174">
    <w:p w14:paraId="3A19B190" w14:textId="3CF61C2C" w:rsidR="0086547B" w:rsidRPr="00DE1BD4" w:rsidRDefault="0086547B" w:rsidP="0086547B">
      <w:pPr>
        <w:pStyle w:val="FootnoteText"/>
      </w:pPr>
      <w:r w:rsidRPr="0045782B">
        <w:rPr>
          <w:rStyle w:val="FootnoteReference"/>
        </w:rPr>
        <w:footnoteRef/>
      </w:r>
      <w:r w:rsidRPr="00DE1BD4">
        <w:t xml:space="preserve"> </w:t>
      </w:r>
      <w:r w:rsidRPr="00DE1BD4">
        <w:fldChar w:fldCharType="begin"/>
      </w:r>
      <w:r w:rsidR="00040AA7">
        <w:instrText xml:space="preserve"> ADDIN ZOTERO_ITEM CSL_CITATION {"citationID":"GXWxRGtv","properties":{"formattedCitation":"Ibid.","plainCitation":"Ibid.","noteIndex":173},"citationItems":[{"id":2953,"uris":["http://zotero.org/groups/5420386/items/YVEKQ7FE"],"itemData":{"id":2953,"type":"webpage","abstract":"Guidance on creating Standard Operating Procedures that can assist in coordinating incident response.","language":"en","title":"Standard Operating Procedures (SOPs) | CISA","URL":"https://www.cisa.gov/safecom/sops","accessed":{"date-parts":[["2024",5,30]]}}}],"schema":"https://github.com/citation-style-language/schema/raw/master/csl-citation.json"} </w:instrText>
      </w:r>
      <w:r w:rsidRPr="00DE1BD4">
        <w:fldChar w:fldCharType="separate"/>
      </w:r>
      <w:r w:rsidRPr="00DE1BD4">
        <w:t>Ibid.</w:t>
      </w:r>
      <w:r w:rsidRPr="00DE1BD4">
        <w:fldChar w:fldCharType="end"/>
      </w:r>
    </w:p>
  </w:footnote>
  <w:footnote w:id="175">
    <w:p w14:paraId="186B1F52" w14:textId="395F1E52" w:rsidR="00907961" w:rsidRDefault="00907961">
      <w:pPr>
        <w:pStyle w:val="FootnoteText"/>
      </w:pPr>
      <w:r w:rsidRPr="0045782B">
        <w:rPr>
          <w:rStyle w:val="FootnoteReference"/>
        </w:rPr>
        <w:footnoteRef/>
      </w:r>
      <w:r>
        <w:t xml:space="preserve"> </w:t>
      </w:r>
      <w:r>
        <w:fldChar w:fldCharType="begin"/>
      </w:r>
      <w:r w:rsidR="00A95B7C">
        <w:instrText xml:space="preserve"> ADDIN ZOTERO_ITEM CSL_CITATION {"citationID":"rgxDfdeo","properties":{"formattedCitation":"AFENET, \\uc0\\u8216{}Strengthening the Public Health Emergency Operations Center (EOC) in The Gambia\\uc0\\u8217{}, {\\i{}AFENET} (2023) &lt;https://afenet.net/strengthening-the-public-health-emergency-operations-center-eoc-in-the-gambia/&gt;.","plainCitation":"AFENET, ‘Strengthening the Public Health Emergency Operations Center (EOC) in The Gambia’, AFENET (2023) &lt;https://afenet.net/strengthening-the-public-health-emergency-operations-center-eoc-in-the-gambia/&gt;.","noteIndex":174},"citationItems":[{"id":3347,"uris":["http://zotero.org/groups/5638933/items/TGN6R4R4"],"itemData":{"id":3347,"type":"post-weblog","abstract":"Funder: Resolve to Save Lives- Vital Strategies Project period: 10 March 2021 to 30 June 2022. Background: The Gambia has recently taken steps to improve its public health emergency response operations. During […]","container-title":"AFENET","language":"en-US","title":"Strengthening the Public Health Emergency Operations Center (EOC) in The Gambia","URL":"https://afenet.net/strengthening-the-public-health-emergency-operations-center-eoc-in-the-gambia/","author":[{"literal":"AFENET"}],"accessed":{"date-parts":[["2024",10,22]]},"issued":{"date-parts":[["2023"]]}}}],"schema":"https://github.com/citation-style-language/schema/raw/master/csl-citation.json"} </w:instrText>
      </w:r>
      <w:r>
        <w:fldChar w:fldCharType="separate"/>
      </w:r>
      <w:r w:rsidRPr="00907961">
        <w:t xml:space="preserve">AFENET, ‘Strengthening the Public Health Emergency Operations Center (EOC) in The Gambia’, </w:t>
      </w:r>
      <w:r w:rsidRPr="00907961">
        <w:rPr>
          <w:i/>
          <w:iCs/>
        </w:rPr>
        <w:t>AFENET</w:t>
      </w:r>
      <w:r w:rsidRPr="00907961">
        <w:t xml:space="preserve"> (2023) &lt;https://afenet.net/strengthening-the-public-health-emergency-operations-center-eoc-in-the-gambia/&gt;.</w:t>
      </w:r>
      <w:r>
        <w:fldChar w:fldCharType="end"/>
      </w:r>
    </w:p>
  </w:footnote>
  <w:footnote w:id="176">
    <w:p w14:paraId="602FDBBE" w14:textId="77777777" w:rsidR="00A74E59" w:rsidRPr="00DE1BD4" w:rsidRDefault="00A74E59" w:rsidP="00A74E59">
      <w:pPr>
        <w:pStyle w:val="FootnoteText"/>
        <w:jc w:val="left"/>
        <w:rPr>
          <w:rFonts w:cstheme="minorHAnsi"/>
          <w:sz w:val="18"/>
          <w:szCs w:val="18"/>
        </w:rPr>
      </w:pPr>
      <w:r w:rsidRPr="0045782B">
        <w:rPr>
          <w:rStyle w:val="FootnoteReference"/>
        </w:rPr>
        <w:footnoteRef/>
      </w:r>
      <w:r w:rsidRPr="00DE1BD4">
        <w:rPr>
          <w:rFonts w:cstheme="minorHAnsi"/>
          <w:sz w:val="18"/>
          <w:szCs w:val="18"/>
        </w:rPr>
        <w:t xml:space="preserve"> ETC (2020). Central African Republic – Situation Report # 37. Available at: </w:t>
      </w:r>
      <w:hyperlink r:id="rId16" w:history="1">
        <w:r w:rsidRPr="00DE1BD4">
          <w:rPr>
            <w:rStyle w:val="Hyperlink"/>
            <w:rFonts w:cstheme="minorHAnsi"/>
            <w:sz w:val="18"/>
            <w:szCs w:val="18"/>
          </w:rPr>
          <w:t>https://www.etcluster.org/sites/default/files/documents/ETC CAR SitRep 37_July 2020.pdf</w:t>
        </w:r>
      </w:hyperlink>
    </w:p>
    <w:p w14:paraId="270DE469" w14:textId="77777777" w:rsidR="00A74E59" w:rsidRPr="00DE1BD4" w:rsidRDefault="00A74E59" w:rsidP="00A74E59">
      <w:pPr>
        <w:pStyle w:val="FootnoteText"/>
        <w:jc w:val="left"/>
        <w:rPr>
          <w:rFonts w:cstheme="minorHAnsi"/>
          <w:sz w:val="18"/>
          <w:szCs w:val="18"/>
        </w:rPr>
      </w:pPr>
    </w:p>
  </w:footnote>
  <w:footnote w:id="177">
    <w:p w14:paraId="62B665A4" w14:textId="239FD3A6" w:rsidR="007650D0" w:rsidRDefault="007650D0" w:rsidP="00D45EAA">
      <w:pPr>
        <w:pStyle w:val="FootnoteText"/>
        <w:jc w:val="left"/>
      </w:pPr>
      <w:r w:rsidRPr="0045782B">
        <w:rPr>
          <w:rStyle w:val="FootnoteReference"/>
        </w:rPr>
        <w:footnoteRef/>
      </w:r>
      <w:r w:rsidRPr="00DE1BD4">
        <w:t xml:space="preserve"> </w:t>
      </w:r>
      <w:r w:rsidRPr="00DE1BD4">
        <w:fldChar w:fldCharType="begin"/>
      </w:r>
      <w:r w:rsidR="00A95B7C">
        <w:instrText xml:space="preserve"> ADDIN ZOTERO_ITEM CSL_CITATION {"citationID":"wcux5YBe","properties":{"formattedCitation":"Global Facility for Disaster Reduction and Recovery, \\uc0\\u8216{}The Post Disaster Needs Assessment: An Overview\\uc0\\u8217{} (9 June 2017) &lt;https://www.gfdrr.org/sites/default/files/publication/PDNA%20-%20ACP-EU%20NDRR%20Focus%20Day%20presentation%20-%209%20June%202017.pdf&gt;.","plainCitation":"Global Facility for Disaster Reduction and Recovery, ‘The Post Disaster Needs Assessment: An Overview’ (9 June 2017) &lt;https://www.gfdrr.org/sites/default/files/publication/PDNA%20-%20ACP-EU%20NDRR%20Focus%20Day%20presentation%20-%209%20June%202017.pdf&gt;.","noteIndex":176},"citationItems":[{"id":1764,"uris":["http://zotero.org/groups/4544658/items/PZ4Y665Q"],"itemData":{"id":1764,"type":"speech","title":"The Post Disaster Needs Assessment: An Overview","URL":"https://www.gfdrr.org/sites/default/files/publication/PDNA%20-%20ACP-EU%20NDRR%20Focus%20Day%20presentation%20-%209%20June%202017.pdf","author":[{"literal":"Global Facility for Disaster Reduction and Recovery"}],"accessed":{"date-parts":[["2021",12,23]]},"issued":{"date-parts":[["2017",6,9]]}}}],"schema":"https://github.com/citation-style-language/schema/raw/master/csl-citation.json"} </w:instrText>
      </w:r>
      <w:r w:rsidRPr="00DE1BD4">
        <w:fldChar w:fldCharType="separate"/>
      </w:r>
      <w:r w:rsidR="00A93965" w:rsidRPr="00DE1BD4">
        <w:rPr>
          <w:szCs w:val="24"/>
        </w:rPr>
        <w:t>Global Facility for Disaster Reduction and Recovery, ‘The Post Disaster Needs Assessment: An Overview’ (9 June 2017) &lt;https://www.gfdrr.org/sites/default/files/publication/PDNA%20-%20ACP-EU%20NDRR%20Focus%20Day%20presentation%20-%209%20June%202017.pdf&gt;.</w:t>
      </w:r>
      <w:r w:rsidRPr="00DE1BD4">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39714" w14:textId="36C966A6" w:rsidR="00E769E0" w:rsidRDefault="00000000">
    <w:pPr>
      <w:pStyle w:val="Header"/>
    </w:pPr>
    <w:r>
      <w:rPr>
        <w:noProof/>
      </w:rPr>
      <w:pict w14:anchorId="2B996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2001" o:spid="_x0000_s1026" type="#_x0000_t136" style="position:absolute;left:0;text-align:left;margin-left:0;margin-top:0;width:550.6pt;height:48.85pt;rotation:315;z-index:-251655168;mso-position-horizontal:center;mso-position-horizontal-relative:margin;mso-position-vertical:center;mso-position-vertical-relative:margin" o:allowincell="f" fillcolor="#a5a5a5 [2092]" stroked="f">
          <v:fill opacity=".5"/>
          <v:textpath style="font-family:&quot;Calibri&quot;;font-size:1pt" string="DRAFT for REVIEW and COM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B013A" w14:textId="4A95BB78" w:rsidR="00E769E0" w:rsidRDefault="00000000">
    <w:pPr>
      <w:pStyle w:val="Header"/>
    </w:pPr>
    <w:r>
      <w:rPr>
        <w:noProof/>
      </w:rPr>
      <w:pict w14:anchorId="4A5F7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2002" o:spid="_x0000_s1027" type="#_x0000_t136" style="position:absolute;left:0;text-align:left;margin-left:0;margin-top:0;width:550.6pt;height:48.85pt;rotation:315;z-index:-251653120;mso-position-horizontal:center;mso-position-horizontal-relative:margin;mso-position-vertical:center;mso-position-vertical-relative:margin" o:allowincell="f" fillcolor="#a5a5a5 [2092]" stroked="f">
          <v:fill opacity=".5"/>
          <v:textpath style="font-family:&quot;Calibri&quot;;font-size:1pt" string="DRAFT for REVIEW and COM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ACC4" w14:textId="23A7978B" w:rsidR="00E769E0" w:rsidRDefault="00000000">
    <w:pPr>
      <w:pStyle w:val="Header"/>
    </w:pPr>
    <w:r>
      <w:rPr>
        <w:noProof/>
      </w:rPr>
      <w:pict w14:anchorId="4BC6C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2000" o:spid="_x0000_s1025" type="#_x0000_t136" style="position:absolute;left:0;text-align:left;margin-left:0;margin-top:0;width:550.6pt;height:48.85pt;rotation:315;z-index:-251657216;mso-position-horizontal:center;mso-position-horizontal-relative:margin;mso-position-vertical:center;mso-position-vertical-relative:margin" o:allowincell="f" fillcolor="#a5a5a5 [2092]" stroked="f">
          <v:fill opacity=".5"/>
          <v:textpath style="font-family:&quot;Calibri&quot;;font-size:1pt" string="DRAFT for REVIEW and COMME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DA797" w14:textId="116B9A95" w:rsidR="00E769E0" w:rsidRDefault="00000000">
    <w:pPr>
      <w:pStyle w:val="Header"/>
    </w:pPr>
    <w:r>
      <w:rPr>
        <w:noProof/>
      </w:rPr>
      <w:pict w14:anchorId="18F531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2004" o:spid="_x0000_s1029" type="#_x0000_t136" style="position:absolute;left:0;text-align:left;margin-left:0;margin-top:0;width:550.6pt;height:48.85pt;rotation:315;z-index:-251649024;mso-position-horizontal:center;mso-position-horizontal-relative:margin;mso-position-vertical:center;mso-position-vertical-relative:margin" o:allowincell="f" fillcolor="#a5a5a5 [2092]" stroked="f">
          <v:fill opacity=".5"/>
          <v:textpath style="font-family:&quot;Calibri&quot;;font-size:1pt" string="DRAFT for REVIEW and COMMEN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A360C" w14:textId="3790779B" w:rsidR="00233240" w:rsidRPr="00DE1BD4" w:rsidRDefault="00000000">
    <w:pPr>
      <w:widowControl w:val="0"/>
      <w:pBdr>
        <w:top w:val="nil"/>
        <w:left w:val="nil"/>
        <w:bottom w:val="nil"/>
        <w:right w:val="nil"/>
        <w:between w:val="nil"/>
      </w:pBdr>
      <w:spacing w:after="0" w:line="276" w:lineRule="auto"/>
      <w:jc w:val="left"/>
      <w:rPr>
        <w:color w:val="000000"/>
        <w:sz w:val="18"/>
        <w:szCs w:val="18"/>
      </w:rPr>
    </w:pPr>
    <w:r>
      <w:rPr>
        <w:noProof/>
      </w:rPr>
      <w:pict w14:anchorId="010BA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2005" o:spid="_x0000_s1030" type="#_x0000_t136" style="position:absolute;margin-left:0;margin-top:0;width:550.6pt;height:48.85pt;rotation:315;z-index:-251646976;mso-position-horizontal:center;mso-position-horizontal-relative:margin;mso-position-vertical:center;mso-position-vertical-relative:margin" o:allowincell="f" fillcolor="#a5a5a5 [2092]" stroked="f">
          <v:fill opacity=".5"/>
          <v:textpath style="font-family:&quot;Calibri&quot;;font-size:1pt" string="DRAFT for REVIEW and COMMENT"/>
          <w10:wrap anchorx="margin" anchory="margin"/>
        </v:shape>
      </w:pict>
    </w:r>
  </w:p>
  <w:tbl>
    <w:tblPr>
      <w:tblW w:w="8819" w:type="dxa"/>
      <w:tblBorders>
        <w:top w:val="nil"/>
        <w:left w:val="nil"/>
        <w:bottom w:val="single" w:sz="4" w:space="0" w:color="4472C4"/>
        <w:right w:val="nil"/>
        <w:insideH w:val="nil"/>
        <w:insideV w:val="nil"/>
      </w:tblBorders>
      <w:tblLayout w:type="fixed"/>
      <w:tblLook w:val="0400" w:firstRow="0" w:lastRow="0" w:firstColumn="0" w:lastColumn="0" w:noHBand="0" w:noVBand="1"/>
    </w:tblPr>
    <w:tblGrid>
      <w:gridCol w:w="7105"/>
      <w:gridCol w:w="1714"/>
    </w:tblGrid>
    <w:tr w:rsidR="0077223F" w:rsidRPr="00DE1BD4" w14:paraId="37526052" w14:textId="77777777" w:rsidTr="0087357E">
      <w:tc>
        <w:tcPr>
          <w:tcW w:w="7105" w:type="dxa"/>
        </w:tcPr>
        <w:p w14:paraId="7F16EFC0" w14:textId="0073A213" w:rsidR="0077223F" w:rsidRPr="00DE1BD4" w:rsidRDefault="00D04594" w:rsidP="0087357E">
          <w:pPr>
            <w:pBdr>
              <w:top w:val="nil"/>
              <w:left w:val="nil"/>
              <w:bottom w:val="nil"/>
              <w:right w:val="nil"/>
              <w:between w:val="nil"/>
            </w:pBdr>
            <w:tabs>
              <w:tab w:val="center" w:pos="4419"/>
              <w:tab w:val="right" w:pos="8838"/>
            </w:tabs>
            <w:ind w:right="-18"/>
            <w:rPr>
              <w:color w:val="000000"/>
              <w:sz w:val="18"/>
            </w:rPr>
          </w:pPr>
          <w:r w:rsidRPr="00DE1BD4">
            <w:rPr>
              <w:color w:val="000000"/>
              <w:sz w:val="18"/>
            </w:rPr>
            <w:t>T</w:t>
          </w:r>
          <w:r w:rsidR="00217735">
            <w:rPr>
              <w:color w:val="000000"/>
              <w:sz w:val="18"/>
            </w:rPr>
            <w:t>he Gambia N</w:t>
          </w:r>
          <w:r w:rsidR="0077223F" w:rsidRPr="00DE1BD4">
            <w:rPr>
              <w:color w:val="000000"/>
              <w:sz w:val="18"/>
            </w:rPr>
            <w:t>ational Emergency Telecommunications Plan</w:t>
          </w:r>
        </w:p>
      </w:tc>
      <w:tc>
        <w:tcPr>
          <w:tcW w:w="1714" w:type="dxa"/>
        </w:tcPr>
        <w:p w14:paraId="2DF8A804" w14:textId="18F9755D" w:rsidR="0077223F" w:rsidRPr="00DE1BD4" w:rsidRDefault="00171B25" w:rsidP="0087357E">
          <w:pPr>
            <w:pBdr>
              <w:top w:val="nil"/>
              <w:left w:val="nil"/>
              <w:bottom w:val="nil"/>
              <w:right w:val="nil"/>
              <w:between w:val="nil"/>
            </w:pBdr>
            <w:tabs>
              <w:tab w:val="center" w:pos="4419"/>
              <w:tab w:val="right" w:pos="8838"/>
            </w:tabs>
            <w:jc w:val="right"/>
            <w:rPr>
              <w:color w:val="000000"/>
              <w:sz w:val="18"/>
            </w:rPr>
          </w:pPr>
          <w:r>
            <w:rPr>
              <w:color w:val="000000"/>
              <w:sz w:val="18"/>
            </w:rPr>
            <w:t>November</w:t>
          </w:r>
          <w:r w:rsidR="00E565D8" w:rsidRPr="00DE1BD4">
            <w:rPr>
              <w:color w:val="000000"/>
              <w:sz w:val="18"/>
            </w:rPr>
            <w:t xml:space="preserve"> 202</w:t>
          </w:r>
          <w:r w:rsidR="00852C68" w:rsidRPr="00DE1BD4">
            <w:rPr>
              <w:color w:val="000000"/>
              <w:sz w:val="18"/>
            </w:rPr>
            <w:t>4</w:t>
          </w:r>
        </w:p>
      </w:tc>
    </w:tr>
    <w:tr w:rsidR="00DC2FF7" w:rsidRPr="00DE1BD4" w14:paraId="7FBC1B98" w14:textId="77777777" w:rsidTr="0087357E">
      <w:tc>
        <w:tcPr>
          <w:tcW w:w="7105" w:type="dxa"/>
        </w:tcPr>
        <w:p w14:paraId="78062043" w14:textId="77777777" w:rsidR="00DC2FF7" w:rsidRPr="00DE1BD4" w:rsidRDefault="00DC2FF7" w:rsidP="0087357E">
          <w:pPr>
            <w:pBdr>
              <w:top w:val="nil"/>
              <w:left w:val="nil"/>
              <w:bottom w:val="nil"/>
              <w:right w:val="nil"/>
              <w:between w:val="nil"/>
            </w:pBdr>
            <w:tabs>
              <w:tab w:val="center" w:pos="4419"/>
              <w:tab w:val="right" w:pos="8838"/>
            </w:tabs>
            <w:ind w:right="-18"/>
            <w:rPr>
              <w:color w:val="000000"/>
              <w:sz w:val="18"/>
            </w:rPr>
          </w:pPr>
        </w:p>
      </w:tc>
      <w:tc>
        <w:tcPr>
          <w:tcW w:w="1714" w:type="dxa"/>
        </w:tcPr>
        <w:p w14:paraId="1E10A5FA" w14:textId="77777777" w:rsidR="00DC2FF7" w:rsidRPr="00DE1BD4" w:rsidRDefault="00DC2FF7" w:rsidP="0087357E">
          <w:pPr>
            <w:pBdr>
              <w:top w:val="nil"/>
              <w:left w:val="nil"/>
              <w:bottom w:val="nil"/>
              <w:right w:val="nil"/>
              <w:between w:val="nil"/>
            </w:pBdr>
            <w:tabs>
              <w:tab w:val="center" w:pos="4419"/>
              <w:tab w:val="right" w:pos="8838"/>
            </w:tabs>
            <w:jc w:val="right"/>
            <w:rPr>
              <w:color w:val="000000"/>
              <w:sz w:val="18"/>
            </w:rPr>
          </w:pPr>
        </w:p>
      </w:tc>
    </w:tr>
  </w:tbl>
  <w:p w14:paraId="39A8CA52" w14:textId="77777777" w:rsidR="0077223F" w:rsidRPr="00DE1BD4" w:rsidRDefault="0077223F" w:rsidP="0087357E">
    <w:pPr>
      <w:pBdr>
        <w:top w:val="nil"/>
        <w:left w:val="nil"/>
        <w:bottom w:val="nil"/>
        <w:right w:val="nil"/>
        <w:between w:val="nil"/>
      </w:pBdr>
      <w:tabs>
        <w:tab w:val="center" w:pos="4419"/>
        <w:tab w:val="right" w:pos="8838"/>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85415" w14:textId="35F2C0BF" w:rsidR="00E769E0" w:rsidRDefault="00000000">
    <w:pPr>
      <w:pStyle w:val="Header"/>
    </w:pPr>
    <w:r>
      <w:rPr>
        <w:noProof/>
      </w:rPr>
      <w:pict w14:anchorId="0681A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2003" o:spid="_x0000_s1028" type="#_x0000_t136" style="position:absolute;left:0;text-align:left;margin-left:0;margin-top:0;width:550.6pt;height:48.85pt;rotation:315;z-index:-251651072;mso-position-horizontal:center;mso-position-horizontal-relative:margin;mso-position-vertical:center;mso-position-vertical-relative:margin" o:allowincell="f" fillcolor="#a5a5a5 [2092]" stroked="f">
          <v:fill opacity=".5"/>
          <v:textpath style="font-family:&quot;Calibri&quot;;font-size:1pt" string="DRAFT for REVIEW and COM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6AA3"/>
    <w:multiLevelType w:val="hybridMultilevel"/>
    <w:tmpl w:val="8060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E7F68"/>
    <w:multiLevelType w:val="hybridMultilevel"/>
    <w:tmpl w:val="158AB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F37BB"/>
    <w:multiLevelType w:val="hybridMultilevel"/>
    <w:tmpl w:val="9EDA91F4"/>
    <w:lvl w:ilvl="0" w:tplc="8EAE2E4E">
      <w:numFmt w:val="bullet"/>
      <w:lvlText w:val="•"/>
      <w:lvlJc w:val="left"/>
      <w:pPr>
        <w:ind w:left="1065" w:hanging="705"/>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11A38"/>
    <w:multiLevelType w:val="multilevel"/>
    <w:tmpl w:val="5596D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0966FC"/>
    <w:multiLevelType w:val="multilevel"/>
    <w:tmpl w:val="274AC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D248D5"/>
    <w:multiLevelType w:val="multilevel"/>
    <w:tmpl w:val="B78E70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AB4A9C"/>
    <w:multiLevelType w:val="hybridMultilevel"/>
    <w:tmpl w:val="FB9C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06BDA"/>
    <w:multiLevelType w:val="hybridMultilevel"/>
    <w:tmpl w:val="94089AEA"/>
    <w:lvl w:ilvl="0" w:tplc="8EAE2E4E">
      <w:numFmt w:val="bullet"/>
      <w:lvlText w:val="•"/>
      <w:lvlJc w:val="left"/>
      <w:pPr>
        <w:ind w:left="1065" w:hanging="705"/>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53398A"/>
    <w:multiLevelType w:val="hybridMultilevel"/>
    <w:tmpl w:val="5BFA0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102520"/>
    <w:multiLevelType w:val="hybridMultilevel"/>
    <w:tmpl w:val="092C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FE4E22"/>
    <w:multiLevelType w:val="hybridMultilevel"/>
    <w:tmpl w:val="44DC3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026923"/>
    <w:multiLevelType w:val="hybridMultilevel"/>
    <w:tmpl w:val="72467F5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7C7C94"/>
    <w:multiLevelType w:val="hybridMultilevel"/>
    <w:tmpl w:val="0156C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D500F"/>
    <w:multiLevelType w:val="hybridMultilevel"/>
    <w:tmpl w:val="3E7ED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36301C"/>
    <w:multiLevelType w:val="hybridMultilevel"/>
    <w:tmpl w:val="A942D3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0F8F1765"/>
    <w:multiLevelType w:val="multilevel"/>
    <w:tmpl w:val="AC3CF710"/>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4AE0CBB"/>
    <w:multiLevelType w:val="hybridMultilevel"/>
    <w:tmpl w:val="01FA2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6C4350"/>
    <w:multiLevelType w:val="hybridMultilevel"/>
    <w:tmpl w:val="EFE4B7D0"/>
    <w:lvl w:ilvl="0" w:tplc="1952C2A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1C982162"/>
    <w:multiLevelType w:val="hybridMultilevel"/>
    <w:tmpl w:val="BA4EC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B24414"/>
    <w:multiLevelType w:val="hybridMultilevel"/>
    <w:tmpl w:val="1B888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414D3B"/>
    <w:multiLevelType w:val="hybridMultilevel"/>
    <w:tmpl w:val="9D7C4CAA"/>
    <w:lvl w:ilvl="0" w:tplc="1952C2A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23BE7331"/>
    <w:multiLevelType w:val="multilevel"/>
    <w:tmpl w:val="1AB8592C"/>
    <w:lvl w:ilvl="0">
      <w:start w:val="3"/>
      <w:numFmt w:val="decimal"/>
      <w:lvlText w:val="%1."/>
      <w:lvlJc w:val="left"/>
      <w:pPr>
        <w:tabs>
          <w:tab w:val="num" w:pos="720"/>
        </w:tabs>
        <w:ind w:left="720" w:hanging="360"/>
      </w:pPr>
    </w:lvl>
    <w:lvl w:ilvl="1">
      <w:start w:val="18"/>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3D34B7"/>
    <w:multiLevelType w:val="hybridMultilevel"/>
    <w:tmpl w:val="0F86E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D1CD7"/>
    <w:multiLevelType w:val="hybridMultilevel"/>
    <w:tmpl w:val="608087C0"/>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73B4974"/>
    <w:multiLevelType w:val="hybridMultilevel"/>
    <w:tmpl w:val="7D049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6F1675"/>
    <w:multiLevelType w:val="hybridMultilevel"/>
    <w:tmpl w:val="8258F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7B5774"/>
    <w:multiLevelType w:val="multilevel"/>
    <w:tmpl w:val="1012D2D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388" w:hanging="576"/>
      </w:pPr>
    </w:lvl>
    <w:lvl w:ilvl="2">
      <w:start w:val="1"/>
      <w:numFmt w:val="decimal"/>
      <w:pStyle w:val="Heading3"/>
      <w:lvlText w:val="%1.%2.%3"/>
      <w:lvlJc w:val="left"/>
      <w:pPr>
        <w:ind w:left="369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2B9E0636"/>
    <w:multiLevelType w:val="hybridMultilevel"/>
    <w:tmpl w:val="D49E3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217E70"/>
    <w:multiLevelType w:val="hybridMultilevel"/>
    <w:tmpl w:val="E4B6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9777D1"/>
    <w:multiLevelType w:val="hybridMultilevel"/>
    <w:tmpl w:val="E81C0AB6"/>
    <w:lvl w:ilvl="0" w:tplc="0C090015">
      <w:start w:val="1"/>
      <w:numFmt w:val="upperLetter"/>
      <w:lvlText w:val="%1."/>
      <w:lvlJc w:val="left"/>
      <w:pPr>
        <w:ind w:left="720" w:hanging="360"/>
      </w:pPr>
    </w:lvl>
    <w:lvl w:ilvl="1" w:tplc="5046DF8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ED0C5B"/>
    <w:multiLevelType w:val="hybridMultilevel"/>
    <w:tmpl w:val="44AE525E"/>
    <w:lvl w:ilvl="0" w:tplc="0C090001">
      <w:start w:val="1"/>
      <w:numFmt w:val="bullet"/>
      <w:lvlText w:val=""/>
      <w:lvlJc w:val="left"/>
      <w:pPr>
        <w:ind w:left="1066" w:hanging="360"/>
      </w:pPr>
      <w:rPr>
        <w:rFonts w:ascii="Symbol" w:hAnsi="Symbol" w:hint="default"/>
      </w:rPr>
    </w:lvl>
    <w:lvl w:ilvl="1" w:tplc="0C090003" w:tentative="1">
      <w:start w:val="1"/>
      <w:numFmt w:val="bullet"/>
      <w:lvlText w:val="o"/>
      <w:lvlJc w:val="left"/>
      <w:pPr>
        <w:ind w:left="1786" w:hanging="360"/>
      </w:pPr>
      <w:rPr>
        <w:rFonts w:ascii="Courier New" w:hAnsi="Courier New" w:cs="Courier New" w:hint="default"/>
      </w:rPr>
    </w:lvl>
    <w:lvl w:ilvl="2" w:tplc="0C090005" w:tentative="1">
      <w:start w:val="1"/>
      <w:numFmt w:val="bullet"/>
      <w:lvlText w:val=""/>
      <w:lvlJc w:val="left"/>
      <w:pPr>
        <w:ind w:left="2506" w:hanging="360"/>
      </w:pPr>
      <w:rPr>
        <w:rFonts w:ascii="Wingdings" w:hAnsi="Wingdings" w:hint="default"/>
      </w:rPr>
    </w:lvl>
    <w:lvl w:ilvl="3" w:tplc="0C090001" w:tentative="1">
      <w:start w:val="1"/>
      <w:numFmt w:val="bullet"/>
      <w:lvlText w:val=""/>
      <w:lvlJc w:val="left"/>
      <w:pPr>
        <w:ind w:left="3226" w:hanging="360"/>
      </w:pPr>
      <w:rPr>
        <w:rFonts w:ascii="Symbol" w:hAnsi="Symbol" w:hint="default"/>
      </w:rPr>
    </w:lvl>
    <w:lvl w:ilvl="4" w:tplc="0C090003" w:tentative="1">
      <w:start w:val="1"/>
      <w:numFmt w:val="bullet"/>
      <w:lvlText w:val="o"/>
      <w:lvlJc w:val="left"/>
      <w:pPr>
        <w:ind w:left="3946" w:hanging="360"/>
      </w:pPr>
      <w:rPr>
        <w:rFonts w:ascii="Courier New" w:hAnsi="Courier New" w:cs="Courier New" w:hint="default"/>
      </w:rPr>
    </w:lvl>
    <w:lvl w:ilvl="5" w:tplc="0C090005" w:tentative="1">
      <w:start w:val="1"/>
      <w:numFmt w:val="bullet"/>
      <w:lvlText w:val=""/>
      <w:lvlJc w:val="left"/>
      <w:pPr>
        <w:ind w:left="4666" w:hanging="360"/>
      </w:pPr>
      <w:rPr>
        <w:rFonts w:ascii="Wingdings" w:hAnsi="Wingdings" w:hint="default"/>
      </w:rPr>
    </w:lvl>
    <w:lvl w:ilvl="6" w:tplc="0C090001" w:tentative="1">
      <w:start w:val="1"/>
      <w:numFmt w:val="bullet"/>
      <w:lvlText w:val=""/>
      <w:lvlJc w:val="left"/>
      <w:pPr>
        <w:ind w:left="5386" w:hanging="360"/>
      </w:pPr>
      <w:rPr>
        <w:rFonts w:ascii="Symbol" w:hAnsi="Symbol" w:hint="default"/>
      </w:rPr>
    </w:lvl>
    <w:lvl w:ilvl="7" w:tplc="0C090003" w:tentative="1">
      <w:start w:val="1"/>
      <w:numFmt w:val="bullet"/>
      <w:lvlText w:val="o"/>
      <w:lvlJc w:val="left"/>
      <w:pPr>
        <w:ind w:left="6106" w:hanging="360"/>
      </w:pPr>
      <w:rPr>
        <w:rFonts w:ascii="Courier New" w:hAnsi="Courier New" w:cs="Courier New" w:hint="default"/>
      </w:rPr>
    </w:lvl>
    <w:lvl w:ilvl="8" w:tplc="0C090005" w:tentative="1">
      <w:start w:val="1"/>
      <w:numFmt w:val="bullet"/>
      <w:lvlText w:val=""/>
      <w:lvlJc w:val="left"/>
      <w:pPr>
        <w:ind w:left="6826" w:hanging="360"/>
      </w:pPr>
      <w:rPr>
        <w:rFonts w:ascii="Wingdings" w:hAnsi="Wingdings" w:hint="default"/>
      </w:rPr>
    </w:lvl>
  </w:abstractNum>
  <w:abstractNum w:abstractNumId="31" w15:restartNumberingAfterBreak="0">
    <w:nsid w:val="3AD667BE"/>
    <w:multiLevelType w:val="multilevel"/>
    <w:tmpl w:val="543040C6"/>
    <w:lvl w:ilvl="0">
      <w:start w:val="2"/>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C0B3662"/>
    <w:multiLevelType w:val="hybridMultilevel"/>
    <w:tmpl w:val="1EDC5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C3403C"/>
    <w:multiLevelType w:val="hybridMultilevel"/>
    <w:tmpl w:val="A69A00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CCF22D8"/>
    <w:multiLevelType w:val="multilevel"/>
    <w:tmpl w:val="5596DA6A"/>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35" w15:restartNumberingAfterBreak="0">
    <w:nsid w:val="3D035B20"/>
    <w:multiLevelType w:val="hybridMultilevel"/>
    <w:tmpl w:val="6C4C2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5B02E9"/>
    <w:multiLevelType w:val="hybridMultilevel"/>
    <w:tmpl w:val="B6567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E4647B"/>
    <w:multiLevelType w:val="multilevel"/>
    <w:tmpl w:val="7324B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0570335"/>
    <w:multiLevelType w:val="multilevel"/>
    <w:tmpl w:val="7324B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2B602ED"/>
    <w:multiLevelType w:val="multilevel"/>
    <w:tmpl w:val="6A328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359706C"/>
    <w:multiLevelType w:val="multilevel"/>
    <w:tmpl w:val="763C4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35A05E3"/>
    <w:multiLevelType w:val="hybridMultilevel"/>
    <w:tmpl w:val="0A327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A42AEC"/>
    <w:multiLevelType w:val="hybridMultilevel"/>
    <w:tmpl w:val="C3449700"/>
    <w:lvl w:ilvl="0" w:tplc="8EAE2E4E">
      <w:numFmt w:val="bullet"/>
      <w:lvlText w:val="•"/>
      <w:lvlJc w:val="left"/>
      <w:pPr>
        <w:ind w:left="773" w:hanging="360"/>
      </w:pPr>
      <w:rPr>
        <w:rFonts w:ascii="Calibri" w:eastAsia="Calibri" w:hAnsi="Calibri" w:cs="Calibri"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3" w15:restartNumberingAfterBreak="0">
    <w:nsid w:val="46E340BC"/>
    <w:multiLevelType w:val="hybridMultilevel"/>
    <w:tmpl w:val="734C8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084721"/>
    <w:multiLevelType w:val="hybridMultilevel"/>
    <w:tmpl w:val="F9FCE6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891983"/>
    <w:multiLevelType w:val="hybridMultilevel"/>
    <w:tmpl w:val="F9A27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812969"/>
    <w:multiLevelType w:val="hybridMultilevel"/>
    <w:tmpl w:val="9B4AF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ED5EBB"/>
    <w:multiLevelType w:val="hybridMultilevel"/>
    <w:tmpl w:val="7C08C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15:restartNumberingAfterBreak="0">
    <w:nsid w:val="54370FA4"/>
    <w:multiLevelType w:val="hybridMultilevel"/>
    <w:tmpl w:val="5F2ECCF0"/>
    <w:lvl w:ilvl="0" w:tplc="8EAE2E4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6C58C1"/>
    <w:multiLevelType w:val="multilevel"/>
    <w:tmpl w:val="6A328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6BD5F54"/>
    <w:multiLevelType w:val="hybridMultilevel"/>
    <w:tmpl w:val="D728A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4F0A79"/>
    <w:multiLevelType w:val="hybridMultilevel"/>
    <w:tmpl w:val="E7D47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9D87BD9"/>
    <w:multiLevelType w:val="multilevel"/>
    <w:tmpl w:val="0DF02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B3E35D7"/>
    <w:multiLevelType w:val="multilevel"/>
    <w:tmpl w:val="5596DA6A"/>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54" w15:restartNumberingAfterBreak="0">
    <w:nsid w:val="61F6617F"/>
    <w:multiLevelType w:val="hybridMultilevel"/>
    <w:tmpl w:val="608087C0"/>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43E5BFD"/>
    <w:multiLevelType w:val="multilevel"/>
    <w:tmpl w:val="0FFEBE30"/>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6817A8"/>
    <w:multiLevelType w:val="multilevel"/>
    <w:tmpl w:val="ACA497C8"/>
    <w:styleLink w:val="Style1"/>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57" w15:restartNumberingAfterBreak="0">
    <w:nsid w:val="6AEF1949"/>
    <w:multiLevelType w:val="hybridMultilevel"/>
    <w:tmpl w:val="9BA22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B061D99"/>
    <w:multiLevelType w:val="multilevel"/>
    <w:tmpl w:val="700CD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B2956AB"/>
    <w:multiLevelType w:val="hybridMultilevel"/>
    <w:tmpl w:val="3B907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90507A"/>
    <w:multiLevelType w:val="hybridMultilevel"/>
    <w:tmpl w:val="E81C0AB6"/>
    <w:lvl w:ilvl="0" w:tplc="FFFFFFFF">
      <w:start w:val="1"/>
      <w:numFmt w:val="upp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2D94CA2"/>
    <w:multiLevelType w:val="hybridMultilevel"/>
    <w:tmpl w:val="753E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426214"/>
    <w:multiLevelType w:val="multilevel"/>
    <w:tmpl w:val="DB9CAA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0A4D02"/>
    <w:multiLevelType w:val="multilevel"/>
    <w:tmpl w:val="7AA44C7E"/>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7739158D"/>
    <w:multiLevelType w:val="hybridMultilevel"/>
    <w:tmpl w:val="FEC20B5E"/>
    <w:lvl w:ilvl="0" w:tplc="0C090001">
      <w:start w:val="1"/>
      <w:numFmt w:val="bullet"/>
      <w:lvlText w:val=""/>
      <w:lvlJc w:val="left"/>
      <w:pPr>
        <w:ind w:left="1066" w:hanging="360"/>
      </w:pPr>
      <w:rPr>
        <w:rFonts w:ascii="Symbol" w:hAnsi="Symbol" w:hint="default"/>
      </w:rPr>
    </w:lvl>
    <w:lvl w:ilvl="1" w:tplc="0C090003" w:tentative="1">
      <w:start w:val="1"/>
      <w:numFmt w:val="bullet"/>
      <w:lvlText w:val="o"/>
      <w:lvlJc w:val="left"/>
      <w:pPr>
        <w:ind w:left="1786" w:hanging="360"/>
      </w:pPr>
      <w:rPr>
        <w:rFonts w:ascii="Courier New" w:hAnsi="Courier New" w:cs="Courier New" w:hint="default"/>
      </w:rPr>
    </w:lvl>
    <w:lvl w:ilvl="2" w:tplc="0C090005" w:tentative="1">
      <w:start w:val="1"/>
      <w:numFmt w:val="bullet"/>
      <w:lvlText w:val=""/>
      <w:lvlJc w:val="left"/>
      <w:pPr>
        <w:ind w:left="2506" w:hanging="360"/>
      </w:pPr>
      <w:rPr>
        <w:rFonts w:ascii="Wingdings" w:hAnsi="Wingdings" w:hint="default"/>
      </w:rPr>
    </w:lvl>
    <w:lvl w:ilvl="3" w:tplc="0C090001" w:tentative="1">
      <w:start w:val="1"/>
      <w:numFmt w:val="bullet"/>
      <w:lvlText w:val=""/>
      <w:lvlJc w:val="left"/>
      <w:pPr>
        <w:ind w:left="3226" w:hanging="360"/>
      </w:pPr>
      <w:rPr>
        <w:rFonts w:ascii="Symbol" w:hAnsi="Symbol" w:hint="default"/>
      </w:rPr>
    </w:lvl>
    <w:lvl w:ilvl="4" w:tplc="0C090003" w:tentative="1">
      <w:start w:val="1"/>
      <w:numFmt w:val="bullet"/>
      <w:lvlText w:val="o"/>
      <w:lvlJc w:val="left"/>
      <w:pPr>
        <w:ind w:left="3946" w:hanging="360"/>
      </w:pPr>
      <w:rPr>
        <w:rFonts w:ascii="Courier New" w:hAnsi="Courier New" w:cs="Courier New" w:hint="default"/>
      </w:rPr>
    </w:lvl>
    <w:lvl w:ilvl="5" w:tplc="0C090005" w:tentative="1">
      <w:start w:val="1"/>
      <w:numFmt w:val="bullet"/>
      <w:lvlText w:val=""/>
      <w:lvlJc w:val="left"/>
      <w:pPr>
        <w:ind w:left="4666" w:hanging="360"/>
      </w:pPr>
      <w:rPr>
        <w:rFonts w:ascii="Wingdings" w:hAnsi="Wingdings" w:hint="default"/>
      </w:rPr>
    </w:lvl>
    <w:lvl w:ilvl="6" w:tplc="0C090001" w:tentative="1">
      <w:start w:val="1"/>
      <w:numFmt w:val="bullet"/>
      <w:lvlText w:val=""/>
      <w:lvlJc w:val="left"/>
      <w:pPr>
        <w:ind w:left="5386" w:hanging="360"/>
      </w:pPr>
      <w:rPr>
        <w:rFonts w:ascii="Symbol" w:hAnsi="Symbol" w:hint="default"/>
      </w:rPr>
    </w:lvl>
    <w:lvl w:ilvl="7" w:tplc="0C090003" w:tentative="1">
      <w:start w:val="1"/>
      <w:numFmt w:val="bullet"/>
      <w:lvlText w:val="o"/>
      <w:lvlJc w:val="left"/>
      <w:pPr>
        <w:ind w:left="6106" w:hanging="360"/>
      </w:pPr>
      <w:rPr>
        <w:rFonts w:ascii="Courier New" w:hAnsi="Courier New" w:cs="Courier New" w:hint="default"/>
      </w:rPr>
    </w:lvl>
    <w:lvl w:ilvl="8" w:tplc="0C090005" w:tentative="1">
      <w:start w:val="1"/>
      <w:numFmt w:val="bullet"/>
      <w:lvlText w:val=""/>
      <w:lvlJc w:val="left"/>
      <w:pPr>
        <w:ind w:left="6826" w:hanging="360"/>
      </w:pPr>
      <w:rPr>
        <w:rFonts w:ascii="Wingdings" w:hAnsi="Wingdings" w:hint="default"/>
      </w:rPr>
    </w:lvl>
  </w:abstractNum>
  <w:abstractNum w:abstractNumId="65" w15:restartNumberingAfterBreak="0">
    <w:nsid w:val="785B1FF9"/>
    <w:multiLevelType w:val="multilevel"/>
    <w:tmpl w:val="5596DA6A"/>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66" w15:restartNumberingAfterBreak="0">
    <w:nsid w:val="7A1E344A"/>
    <w:multiLevelType w:val="multilevel"/>
    <w:tmpl w:val="A3BAB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BD8626E"/>
    <w:multiLevelType w:val="hybridMultilevel"/>
    <w:tmpl w:val="A14A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C23251D"/>
    <w:multiLevelType w:val="hybridMultilevel"/>
    <w:tmpl w:val="F594C6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9" w15:restartNumberingAfterBreak="0">
    <w:nsid w:val="7C3127B5"/>
    <w:multiLevelType w:val="hybridMultilevel"/>
    <w:tmpl w:val="49B05D56"/>
    <w:lvl w:ilvl="0" w:tplc="240A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0" w15:restartNumberingAfterBreak="0">
    <w:nsid w:val="7C4C33C3"/>
    <w:multiLevelType w:val="hybridMultilevel"/>
    <w:tmpl w:val="E0768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C616A36"/>
    <w:multiLevelType w:val="hybridMultilevel"/>
    <w:tmpl w:val="CB46F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CF7754"/>
    <w:multiLevelType w:val="hybridMultilevel"/>
    <w:tmpl w:val="56686F90"/>
    <w:lvl w:ilvl="0" w:tplc="240A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26885">
    <w:abstractNumId w:val="6"/>
  </w:num>
  <w:num w:numId="2" w16cid:durableId="1086606893">
    <w:abstractNumId w:val="49"/>
  </w:num>
  <w:num w:numId="3" w16cid:durableId="1639647857">
    <w:abstractNumId w:val="5"/>
  </w:num>
  <w:num w:numId="4" w16cid:durableId="918514900">
    <w:abstractNumId w:val="40"/>
  </w:num>
  <w:num w:numId="5" w16cid:durableId="1883252558">
    <w:abstractNumId w:val="4"/>
  </w:num>
  <w:num w:numId="6" w16cid:durableId="1428231570">
    <w:abstractNumId w:val="38"/>
  </w:num>
  <w:num w:numId="7" w16cid:durableId="1637643475">
    <w:abstractNumId w:val="46"/>
  </w:num>
  <w:num w:numId="8" w16cid:durableId="81297249">
    <w:abstractNumId w:val="24"/>
  </w:num>
  <w:num w:numId="9" w16cid:durableId="176042394">
    <w:abstractNumId w:val="18"/>
  </w:num>
  <w:num w:numId="10" w16cid:durableId="1273248472">
    <w:abstractNumId w:val="25"/>
  </w:num>
  <w:num w:numId="11" w16cid:durableId="346058586">
    <w:abstractNumId w:val="56"/>
  </w:num>
  <w:num w:numId="12" w16cid:durableId="2064132255">
    <w:abstractNumId w:val="26"/>
  </w:num>
  <w:num w:numId="13" w16cid:durableId="749624296">
    <w:abstractNumId w:val="63"/>
  </w:num>
  <w:num w:numId="14" w16cid:durableId="1417163929">
    <w:abstractNumId w:val="15"/>
  </w:num>
  <w:num w:numId="15" w16cid:durableId="15849974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4078852">
    <w:abstractNumId w:val="8"/>
  </w:num>
  <w:num w:numId="17" w16cid:durableId="883906157">
    <w:abstractNumId w:val="51"/>
  </w:num>
  <w:num w:numId="18" w16cid:durableId="509297238">
    <w:abstractNumId w:val="27"/>
  </w:num>
  <w:num w:numId="19" w16cid:durableId="767849823">
    <w:abstractNumId w:val="16"/>
  </w:num>
  <w:num w:numId="20" w16cid:durableId="1586915908">
    <w:abstractNumId w:val="71"/>
  </w:num>
  <w:num w:numId="21" w16cid:durableId="1766195816">
    <w:abstractNumId w:val="10"/>
  </w:num>
  <w:num w:numId="22" w16cid:durableId="870340233">
    <w:abstractNumId w:val="19"/>
  </w:num>
  <w:num w:numId="23" w16cid:durableId="1655177620">
    <w:abstractNumId w:val="30"/>
  </w:num>
  <w:num w:numId="24" w16cid:durableId="656031256">
    <w:abstractNumId w:val="50"/>
  </w:num>
  <w:num w:numId="25" w16cid:durableId="1335691967">
    <w:abstractNumId w:val="59"/>
  </w:num>
  <w:num w:numId="26" w16cid:durableId="256180790">
    <w:abstractNumId w:val="70"/>
  </w:num>
  <w:num w:numId="27" w16cid:durableId="347677219">
    <w:abstractNumId w:val="43"/>
  </w:num>
  <w:num w:numId="28" w16cid:durableId="248468989">
    <w:abstractNumId w:val="52"/>
  </w:num>
  <w:num w:numId="29" w16cid:durableId="85080935">
    <w:abstractNumId w:val="62"/>
  </w:num>
  <w:num w:numId="30" w16cid:durableId="768702581">
    <w:abstractNumId w:val="21"/>
  </w:num>
  <w:num w:numId="31" w16cid:durableId="76630855">
    <w:abstractNumId w:val="58"/>
  </w:num>
  <w:num w:numId="32" w16cid:durableId="1936013213">
    <w:abstractNumId w:val="28"/>
  </w:num>
  <w:num w:numId="33" w16cid:durableId="379482349">
    <w:abstractNumId w:val="13"/>
  </w:num>
  <w:num w:numId="34" w16cid:durableId="1308389154">
    <w:abstractNumId w:val="32"/>
  </w:num>
  <w:num w:numId="35" w16cid:durableId="1440442794">
    <w:abstractNumId w:val="64"/>
  </w:num>
  <w:num w:numId="36" w16cid:durableId="1051149239">
    <w:abstractNumId w:val="61"/>
  </w:num>
  <w:num w:numId="37" w16cid:durableId="1508403989">
    <w:abstractNumId w:val="55"/>
    <w:lvlOverride w:ilvl="0">
      <w:startOverride w:val="1"/>
    </w:lvlOverride>
    <w:lvlOverride w:ilvl="1"/>
    <w:lvlOverride w:ilvl="2"/>
    <w:lvlOverride w:ilvl="3"/>
    <w:lvlOverride w:ilvl="4"/>
    <w:lvlOverride w:ilvl="5"/>
    <w:lvlOverride w:ilvl="6"/>
    <w:lvlOverride w:ilvl="7"/>
    <w:lvlOverride w:ilvl="8"/>
  </w:num>
  <w:num w:numId="38" w16cid:durableId="1193497922">
    <w:abstractNumId w:val="47"/>
  </w:num>
  <w:num w:numId="39" w16cid:durableId="1462305830">
    <w:abstractNumId w:val="33"/>
  </w:num>
  <w:num w:numId="40" w16cid:durableId="681399711">
    <w:abstractNumId w:val="69"/>
  </w:num>
  <w:num w:numId="41" w16cid:durableId="199054576">
    <w:abstractNumId w:val="14"/>
  </w:num>
  <w:num w:numId="42" w16cid:durableId="1086145062">
    <w:abstractNumId w:val="72"/>
  </w:num>
  <w:num w:numId="43" w16cid:durableId="401755042">
    <w:abstractNumId w:val="20"/>
  </w:num>
  <w:num w:numId="44" w16cid:durableId="413432332">
    <w:abstractNumId w:val="68"/>
  </w:num>
  <w:num w:numId="45" w16cid:durableId="237984497">
    <w:abstractNumId w:val="17"/>
  </w:num>
  <w:num w:numId="46" w16cid:durableId="171644913">
    <w:abstractNumId w:val="54"/>
  </w:num>
  <w:num w:numId="47" w16cid:durableId="1517305214">
    <w:abstractNumId w:val="36"/>
  </w:num>
  <w:num w:numId="48" w16cid:durableId="1930657708">
    <w:abstractNumId w:val="45"/>
  </w:num>
  <w:num w:numId="49" w16cid:durableId="742603403">
    <w:abstractNumId w:val="23"/>
  </w:num>
  <w:num w:numId="50" w16cid:durableId="48848501">
    <w:abstractNumId w:val="7"/>
  </w:num>
  <w:num w:numId="51" w16cid:durableId="628049397">
    <w:abstractNumId w:val="2"/>
  </w:num>
  <w:num w:numId="52" w16cid:durableId="743138628">
    <w:abstractNumId w:val="29"/>
  </w:num>
  <w:num w:numId="53" w16cid:durableId="401610274">
    <w:abstractNumId w:val="42"/>
  </w:num>
  <w:num w:numId="54" w16cid:durableId="1881478714">
    <w:abstractNumId w:val="48"/>
  </w:num>
  <w:num w:numId="55" w16cid:durableId="1897275370">
    <w:abstractNumId w:val="67"/>
  </w:num>
  <w:num w:numId="56" w16cid:durableId="1534071340">
    <w:abstractNumId w:val="44"/>
  </w:num>
  <w:num w:numId="57" w16cid:durableId="992492480">
    <w:abstractNumId w:val="0"/>
  </w:num>
  <w:num w:numId="58" w16cid:durableId="1590389740">
    <w:abstractNumId w:val="9"/>
  </w:num>
  <w:num w:numId="59" w16cid:durableId="548343356">
    <w:abstractNumId w:val="11"/>
  </w:num>
  <w:num w:numId="60" w16cid:durableId="1003623576">
    <w:abstractNumId w:val="41"/>
  </w:num>
  <w:num w:numId="61" w16cid:durableId="2100447385">
    <w:abstractNumId w:val="57"/>
  </w:num>
  <w:num w:numId="62" w16cid:durableId="231282799">
    <w:abstractNumId w:val="12"/>
  </w:num>
  <w:num w:numId="63" w16cid:durableId="470484277">
    <w:abstractNumId w:val="1"/>
  </w:num>
  <w:num w:numId="64" w16cid:durableId="863716738">
    <w:abstractNumId w:val="35"/>
  </w:num>
  <w:num w:numId="65" w16cid:durableId="129520999">
    <w:abstractNumId w:val="22"/>
  </w:num>
  <w:num w:numId="66" w16cid:durableId="1691567021">
    <w:abstractNumId w:val="39"/>
  </w:num>
  <w:num w:numId="67" w16cid:durableId="234246650">
    <w:abstractNumId w:val="60"/>
  </w:num>
  <w:num w:numId="68" w16cid:durableId="478812759">
    <w:abstractNumId w:val="37"/>
  </w:num>
  <w:num w:numId="69" w16cid:durableId="736590632">
    <w:abstractNumId w:val="66"/>
  </w:num>
  <w:num w:numId="70" w16cid:durableId="1402019160">
    <w:abstractNumId w:val="65"/>
  </w:num>
  <w:num w:numId="71" w16cid:durableId="955597562">
    <w:abstractNumId w:val="31"/>
  </w:num>
  <w:num w:numId="72" w16cid:durableId="406071446">
    <w:abstractNumId w:val="3"/>
  </w:num>
  <w:num w:numId="73" w16cid:durableId="1881042439">
    <w:abstractNumId w:val="34"/>
  </w:num>
  <w:num w:numId="74" w16cid:durableId="1077551664">
    <w:abstractNumId w:val="53"/>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ad Partridge">
    <w15:presenceInfo w15:providerId="Windows Live" w15:userId="5a7d6f516282c8c5"/>
  </w15:person>
  <w15:person w15:author="Delgado, Doris Maritza">
    <w15:presenceInfo w15:providerId="AD" w15:userId="S::dorismaritza.delgado@itu.int::734424dc-6db5-4516-ab7c-a2c270383f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6"/>
  <w:hyphenationZone w:val="425"/>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9B3"/>
    <w:rsid w:val="0000030C"/>
    <w:rsid w:val="00000312"/>
    <w:rsid w:val="0000039F"/>
    <w:rsid w:val="0000045E"/>
    <w:rsid w:val="000007CB"/>
    <w:rsid w:val="00001001"/>
    <w:rsid w:val="00001463"/>
    <w:rsid w:val="000014E2"/>
    <w:rsid w:val="00001D46"/>
    <w:rsid w:val="00001FF3"/>
    <w:rsid w:val="000023A1"/>
    <w:rsid w:val="00002BB7"/>
    <w:rsid w:val="00002CAD"/>
    <w:rsid w:val="00002CEF"/>
    <w:rsid w:val="00003672"/>
    <w:rsid w:val="0000367C"/>
    <w:rsid w:val="000036E7"/>
    <w:rsid w:val="00003802"/>
    <w:rsid w:val="00003CC3"/>
    <w:rsid w:val="00004A60"/>
    <w:rsid w:val="00004D12"/>
    <w:rsid w:val="00004FC5"/>
    <w:rsid w:val="000050B0"/>
    <w:rsid w:val="000051C7"/>
    <w:rsid w:val="00005AF6"/>
    <w:rsid w:val="00006011"/>
    <w:rsid w:val="00006955"/>
    <w:rsid w:val="0000702B"/>
    <w:rsid w:val="00007776"/>
    <w:rsid w:val="00007A3B"/>
    <w:rsid w:val="00007ACD"/>
    <w:rsid w:val="00007F12"/>
    <w:rsid w:val="000105C9"/>
    <w:rsid w:val="0001087C"/>
    <w:rsid w:val="00011620"/>
    <w:rsid w:val="00011FCD"/>
    <w:rsid w:val="00011FFE"/>
    <w:rsid w:val="00012484"/>
    <w:rsid w:val="000127CD"/>
    <w:rsid w:val="0001293A"/>
    <w:rsid w:val="000129C8"/>
    <w:rsid w:val="00013B9A"/>
    <w:rsid w:val="0001413D"/>
    <w:rsid w:val="00014260"/>
    <w:rsid w:val="0001438F"/>
    <w:rsid w:val="0001450E"/>
    <w:rsid w:val="0001487B"/>
    <w:rsid w:val="00014A50"/>
    <w:rsid w:val="00014D26"/>
    <w:rsid w:val="000150AF"/>
    <w:rsid w:val="0001531A"/>
    <w:rsid w:val="0001538F"/>
    <w:rsid w:val="00015392"/>
    <w:rsid w:val="000153A8"/>
    <w:rsid w:val="00015982"/>
    <w:rsid w:val="00015D53"/>
    <w:rsid w:val="0001682B"/>
    <w:rsid w:val="00016AD8"/>
    <w:rsid w:val="00016B4B"/>
    <w:rsid w:val="00016DB8"/>
    <w:rsid w:val="00016DD8"/>
    <w:rsid w:val="00016F5D"/>
    <w:rsid w:val="0001772A"/>
    <w:rsid w:val="000178D2"/>
    <w:rsid w:val="00017BFB"/>
    <w:rsid w:val="00017C93"/>
    <w:rsid w:val="00017DBD"/>
    <w:rsid w:val="000205A2"/>
    <w:rsid w:val="000205A3"/>
    <w:rsid w:val="00020876"/>
    <w:rsid w:val="000209FB"/>
    <w:rsid w:val="00020A61"/>
    <w:rsid w:val="00020ADD"/>
    <w:rsid w:val="00020E15"/>
    <w:rsid w:val="000210B5"/>
    <w:rsid w:val="000211E5"/>
    <w:rsid w:val="000217EC"/>
    <w:rsid w:val="0002180E"/>
    <w:rsid w:val="00021B0B"/>
    <w:rsid w:val="00021E27"/>
    <w:rsid w:val="00023993"/>
    <w:rsid w:val="00023B56"/>
    <w:rsid w:val="00023DC6"/>
    <w:rsid w:val="00024594"/>
    <w:rsid w:val="000246B6"/>
    <w:rsid w:val="00024B20"/>
    <w:rsid w:val="00024B77"/>
    <w:rsid w:val="00024BE6"/>
    <w:rsid w:val="00024E30"/>
    <w:rsid w:val="000254D4"/>
    <w:rsid w:val="0002551B"/>
    <w:rsid w:val="000255B4"/>
    <w:rsid w:val="0002575F"/>
    <w:rsid w:val="000259C7"/>
    <w:rsid w:val="0002653A"/>
    <w:rsid w:val="00026851"/>
    <w:rsid w:val="00026C30"/>
    <w:rsid w:val="00026D11"/>
    <w:rsid w:val="00026E43"/>
    <w:rsid w:val="00026FCC"/>
    <w:rsid w:val="00027F5A"/>
    <w:rsid w:val="00030454"/>
    <w:rsid w:val="000305DA"/>
    <w:rsid w:val="00030C1F"/>
    <w:rsid w:val="00030C3A"/>
    <w:rsid w:val="00030DB3"/>
    <w:rsid w:val="000311AE"/>
    <w:rsid w:val="00031B86"/>
    <w:rsid w:val="00031E9F"/>
    <w:rsid w:val="00031FF3"/>
    <w:rsid w:val="000325D4"/>
    <w:rsid w:val="00032A75"/>
    <w:rsid w:val="00032FCB"/>
    <w:rsid w:val="00033029"/>
    <w:rsid w:val="000332CE"/>
    <w:rsid w:val="000333C2"/>
    <w:rsid w:val="00033481"/>
    <w:rsid w:val="00033A5F"/>
    <w:rsid w:val="00033AA7"/>
    <w:rsid w:val="00033B2D"/>
    <w:rsid w:val="00033B53"/>
    <w:rsid w:val="00033DD7"/>
    <w:rsid w:val="0003413D"/>
    <w:rsid w:val="000349E9"/>
    <w:rsid w:val="00034A95"/>
    <w:rsid w:val="00034B15"/>
    <w:rsid w:val="000355BA"/>
    <w:rsid w:val="000356DD"/>
    <w:rsid w:val="00035787"/>
    <w:rsid w:val="00035C2E"/>
    <w:rsid w:val="00035D8E"/>
    <w:rsid w:val="0003663F"/>
    <w:rsid w:val="00036BFC"/>
    <w:rsid w:val="00037BF7"/>
    <w:rsid w:val="00037DAD"/>
    <w:rsid w:val="000405FB"/>
    <w:rsid w:val="00040AA7"/>
    <w:rsid w:val="00040CC2"/>
    <w:rsid w:val="00041B6B"/>
    <w:rsid w:val="00041EA3"/>
    <w:rsid w:val="00042A4B"/>
    <w:rsid w:val="00042B4B"/>
    <w:rsid w:val="00042C47"/>
    <w:rsid w:val="00042DA9"/>
    <w:rsid w:val="000431FE"/>
    <w:rsid w:val="0004331F"/>
    <w:rsid w:val="0004342F"/>
    <w:rsid w:val="00043BA0"/>
    <w:rsid w:val="00043C7F"/>
    <w:rsid w:val="00044135"/>
    <w:rsid w:val="000445D5"/>
    <w:rsid w:val="0004473B"/>
    <w:rsid w:val="00044978"/>
    <w:rsid w:val="00044A9E"/>
    <w:rsid w:val="00044B50"/>
    <w:rsid w:val="00044D02"/>
    <w:rsid w:val="000455AF"/>
    <w:rsid w:val="000455F0"/>
    <w:rsid w:val="00045672"/>
    <w:rsid w:val="00045DAE"/>
    <w:rsid w:val="00045E73"/>
    <w:rsid w:val="00046490"/>
    <w:rsid w:val="00046CB0"/>
    <w:rsid w:val="00046DFE"/>
    <w:rsid w:val="00046F7A"/>
    <w:rsid w:val="0004727F"/>
    <w:rsid w:val="00047621"/>
    <w:rsid w:val="00047DA1"/>
    <w:rsid w:val="00047F4F"/>
    <w:rsid w:val="000501EE"/>
    <w:rsid w:val="0005048C"/>
    <w:rsid w:val="0005098D"/>
    <w:rsid w:val="00051AB0"/>
    <w:rsid w:val="00051C8E"/>
    <w:rsid w:val="00051C9F"/>
    <w:rsid w:val="000524D9"/>
    <w:rsid w:val="000528FC"/>
    <w:rsid w:val="000529D6"/>
    <w:rsid w:val="00052AE6"/>
    <w:rsid w:val="00052C38"/>
    <w:rsid w:val="00052CDD"/>
    <w:rsid w:val="00053264"/>
    <w:rsid w:val="00053527"/>
    <w:rsid w:val="00053778"/>
    <w:rsid w:val="00053AEF"/>
    <w:rsid w:val="00053D37"/>
    <w:rsid w:val="00053DCE"/>
    <w:rsid w:val="00053E98"/>
    <w:rsid w:val="00054386"/>
    <w:rsid w:val="000546A2"/>
    <w:rsid w:val="00054AAB"/>
    <w:rsid w:val="00055221"/>
    <w:rsid w:val="000552E6"/>
    <w:rsid w:val="000553F0"/>
    <w:rsid w:val="000555BB"/>
    <w:rsid w:val="0005563F"/>
    <w:rsid w:val="00055819"/>
    <w:rsid w:val="000558CD"/>
    <w:rsid w:val="00055B70"/>
    <w:rsid w:val="00055B93"/>
    <w:rsid w:val="00055B9B"/>
    <w:rsid w:val="00055F22"/>
    <w:rsid w:val="0005621A"/>
    <w:rsid w:val="00056306"/>
    <w:rsid w:val="00056675"/>
    <w:rsid w:val="000567EA"/>
    <w:rsid w:val="00056C99"/>
    <w:rsid w:val="00057408"/>
    <w:rsid w:val="00057469"/>
    <w:rsid w:val="0005777C"/>
    <w:rsid w:val="00057C53"/>
    <w:rsid w:val="00057D03"/>
    <w:rsid w:val="00057D79"/>
    <w:rsid w:val="00060ACB"/>
    <w:rsid w:val="00060B31"/>
    <w:rsid w:val="00060E1D"/>
    <w:rsid w:val="000613E2"/>
    <w:rsid w:val="00061AAE"/>
    <w:rsid w:val="00061E4B"/>
    <w:rsid w:val="00061EF8"/>
    <w:rsid w:val="00062245"/>
    <w:rsid w:val="00062811"/>
    <w:rsid w:val="0006292A"/>
    <w:rsid w:val="00062C07"/>
    <w:rsid w:val="00062D26"/>
    <w:rsid w:val="000630B0"/>
    <w:rsid w:val="000630B6"/>
    <w:rsid w:val="000638E2"/>
    <w:rsid w:val="00063948"/>
    <w:rsid w:val="00063E1B"/>
    <w:rsid w:val="00064011"/>
    <w:rsid w:val="0006467F"/>
    <w:rsid w:val="000651DF"/>
    <w:rsid w:val="00065202"/>
    <w:rsid w:val="000654A1"/>
    <w:rsid w:val="0006591D"/>
    <w:rsid w:val="000659A6"/>
    <w:rsid w:val="000659FD"/>
    <w:rsid w:val="00065DC0"/>
    <w:rsid w:val="00066180"/>
    <w:rsid w:val="00066D24"/>
    <w:rsid w:val="00066DAE"/>
    <w:rsid w:val="00066E35"/>
    <w:rsid w:val="000670A5"/>
    <w:rsid w:val="00067AE7"/>
    <w:rsid w:val="00067C14"/>
    <w:rsid w:val="0007007A"/>
    <w:rsid w:val="00070A57"/>
    <w:rsid w:val="00070AF2"/>
    <w:rsid w:val="00070EC7"/>
    <w:rsid w:val="000711DE"/>
    <w:rsid w:val="00071598"/>
    <w:rsid w:val="000715FE"/>
    <w:rsid w:val="0007238D"/>
    <w:rsid w:val="000723FF"/>
    <w:rsid w:val="00072613"/>
    <w:rsid w:val="0007307D"/>
    <w:rsid w:val="00073389"/>
    <w:rsid w:val="00073640"/>
    <w:rsid w:val="000738B3"/>
    <w:rsid w:val="00074889"/>
    <w:rsid w:val="00074959"/>
    <w:rsid w:val="00074A9C"/>
    <w:rsid w:val="000750AA"/>
    <w:rsid w:val="00075691"/>
    <w:rsid w:val="000758A7"/>
    <w:rsid w:val="000759D8"/>
    <w:rsid w:val="00075A4E"/>
    <w:rsid w:val="00075E61"/>
    <w:rsid w:val="00076204"/>
    <w:rsid w:val="000767FA"/>
    <w:rsid w:val="000768A7"/>
    <w:rsid w:val="00076BD1"/>
    <w:rsid w:val="00076DAD"/>
    <w:rsid w:val="00076ECE"/>
    <w:rsid w:val="00077139"/>
    <w:rsid w:val="0007716B"/>
    <w:rsid w:val="00077463"/>
    <w:rsid w:val="0007747E"/>
    <w:rsid w:val="00077AF3"/>
    <w:rsid w:val="00077EA4"/>
    <w:rsid w:val="00080E60"/>
    <w:rsid w:val="00080E83"/>
    <w:rsid w:val="00081072"/>
    <w:rsid w:val="000812C2"/>
    <w:rsid w:val="000825A1"/>
    <w:rsid w:val="00082D58"/>
    <w:rsid w:val="000833A6"/>
    <w:rsid w:val="00083C20"/>
    <w:rsid w:val="00083E11"/>
    <w:rsid w:val="00083F7A"/>
    <w:rsid w:val="00084091"/>
    <w:rsid w:val="0008467E"/>
    <w:rsid w:val="00085127"/>
    <w:rsid w:val="0008555A"/>
    <w:rsid w:val="0008589B"/>
    <w:rsid w:val="000862D7"/>
    <w:rsid w:val="00086BB9"/>
    <w:rsid w:val="0009027B"/>
    <w:rsid w:val="000907C9"/>
    <w:rsid w:val="00090A5E"/>
    <w:rsid w:val="00090DEF"/>
    <w:rsid w:val="00090E5E"/>
    <w:rsid w:val="0009126E"/>
    <w:rsid w:val="0009179B"/>
    <w:rsid w:val="00091A6A"/>
    <w:rsid w:val="00092163"/>
    <w:rsid w:val="0009217A"/>
    <w:rsid w:val="000921F8"/>
    <w:rsid w:val="00092764"/>
    <w:rsid w:val="00092C5C"/>
    <w:rsid w:val="00092D56"/>
    <w:rsid w:val="00092F73"/>
    <w:rsid w:val="00093701"/>
    <w:rsid w:val="00093A2F"/>
    <w:rsid w:val="00094419"/>
    <w:rsid w:val="000944F2"/>
    <w:rsid w:val="00094CE7"/>
    <w:rsid w:val="00095563"/>
    <w:rsid w:val="00095926"/>
    <w:rsid w:val="00095DF8"/>
    <w:rsid w:val="00095E8D"/>
    <w:rsid w:val="00096537"/>
    <w:rsid w:val="0009660F"/>
    <w:rsid w:val="00096684"/>
    <w:rsid w:val="00096751"/>
    <w:rsid w:val="00096866"/>
    <w:rsid w:val="000970EB"/>
    <w:rsid w:val="00097F1C"/>
    <w:rsid w:val="00097F82"/>
    <w:rsid w:val="000A0075"/>
    <w:rsid w:val="000A0248"/>
    <w:rsid w:val="000A03AF"/>
    <w:rsid w:val="000A0BFE"/>
    <w:rsid w:val="000A0E06"/>
    <w:rsid w:val="000A0E15"/>
    <w:rsid w:val="000A1697"/>
    <w:rsid w:val="000A1DB2"/>
    <w:rsid w:val="000A2127"/>
    <w:rsid w:val="000A2B65"/>
    <w:rsid w:val="000A2BD9"/>
    <w:rsid w:val="000A3480"/>
    <w:rsid w:val="000A37C5"/>
    <w:rsid w:val="000A394A"/>
    <w:rsid w:val="000A3DA7"/>
    <w:rsid w:val="000A4058"/>
    <w:rsid w:val="000A42C0"/>
    <w:rsid w:val="000A4893"/>
    <w:rsid w:val="000A4BA7"/>
    <w:rsid w:val="000A4E15"/>
    <w:rsid w:val="000A5257"/>
    <w:rsid w:val="000A52F6"/>
    <w:rsid w:val="000A5707"/>
    <w:rsid w:val="000A58BC"/>
    <w:rsid w:val="000A595F"/>
    <w:rsid w:val="000A641A"/>
    <w:rsid w:val="000A6E0C"/>
    <w:rsid w:val="000A71AD"/>
    <w:rsid w:val="000A7C91"/>
    <w:rsid w:val="000A7E4D"/>
    <w:rsid w:val="000B002E"/>
    <w:rsid w:val="000B0132"/>
    <w:rsid w:val="000B0196"/>
    <w:rsid w:val="000B052E"/>
    <w:rsid w:val="000B0767"/>
    <w:rsid w:val="000B0BE3"/>
    <w:rsid w:val="000B1937"/>
    <w:rsid w:val="000B1989"/>
    <w:rsid w:val="000B1BBE"/>
    <w:rsid w:val="000B1F43"/>
    <w:rsid w:val="000B1F92"/>
    <w:rsid w:val="000B2686"/>
    <w:rsid w:val="000B2E6A"/>
    <w:rsid w:val="000B2F8E"/>
    <w:rsid w:val="000B31E4"/>
    <w:rsid w:val="000B345D"/>
    <w:rsid w:val="000B3706"/>
    <w:rsid w:val="000B3C09"/>
    <w:rsid w:val="000B40B0"/>
    <w:rsid w:val="000B4B87"/>
    <w:rsid w:val="000B54FF"/>
    <w:rsid w:val="000B5979"/>
    <w:rsid w:val="000B5B7D"/>
    <w:rsid w:val="000B5E9C"/>
    <w:rsid w:val="000B7357"/>
    <w:rsid w:val="000B76C0"/>
    <w:rsid w:val="000B7828"/>
    <w:rsid w:val="000B7D86"/>
    <w:rsid w:val="000C02B4"/>
    <w:rsid w:val="000C0EE1"/>
    <w:rsid w:val="000C1070"/>
    <w:rsid w:val="000C1299"/>
    <w:rsid w:val="000C17DA"/>
    <w:rsid w:val="000C18D7"/>
    <w:rsid w:val="000C1AAB"/>
    <w:rsid w:val="000C2139"/>
    <w:rsid w:val="000C244B"/>
    <w:rsid w:val="000C26E8"/>
    <w:rsid w:val="000C2C4B"/>
    <w:rsid w:val="000C2FC2"/>
    <w:rsid w:val="000C306E"/>
    <w:rsid w:val="000C313B"/>
    <w:rsid w:val="000C32F3"/>
    <w:rsid w:val="000C33B5"/>
    <w:rsid w:val="000C352C"/>
    <w:rsid w:val="000C3544"/>
    <w:rsid w:val="000C360F"/>
    <w:rsid w:val="000C3926"/>
    <w:rsid w:val="000C3B0B"/>
    <w:rsid w:val="000C3FAE"/>
    <w:rsid w:val="000C44BD"/>
    <w:rsid w:val="000C4A34"/>
    <w:rsid w:val="000C53F7"/>
    <w:rsid w:val="000C5940"/>
    <w:rsid w:val="000C5A6C"/>
    <w:rsid w:val="000C5D13"/>
    <w:rsid w:val="000C5E3F"/>
    <w:rsid w:val="000C638B"/>
    <w:rsid w:val="000C6398"/>
    <w:rsid w:val="000C641D"/>
    <w:rsid w:val="000C6A47"/>
    <w:rsid w:val="000C6D02"/>
    <w:rsid w:val="000C6ED0"/>
    <w:rsid w:val="000C6F0B"/>
    <w:rsid w:val="000C78AA"/>
    <w:rsid w:val="000C796F"/>
    <w:rsid w:val="000C79B7"/>
    <w:rsid w:val="000C7EAC"/>
    <w:rsid w:val="000D011F"/>
    <w:rsid w:val="000D0A24"/>
    <w:rsid w:val="000D0A31"/>
    <w:rsid w:val="000D0BBB"/>
    <w:rsid w:val="000D0F99"/>
    <w:rsid w:val="000D110B"/>
    <w:rsid w:val="000D1299"/>
    <w:rsid w:val="000D1587"/>
    <w:rsid w:val="000D1762"/>
    <w:rsid w:val="000D1A66"/>
    <w:rsid w:val="000D1B2C"/>
    <w:rsid w:val="000D226D"/>
    <w:rsid w:val="000D237E"/>
    <w:rsid w:val="000D2671"/>
    <w:rsid w:val="000D2788"/>
    <w:rsid w:val="000D28BE"/>
    <w:rsid w:val="000D2971"/>
    <w:rsid w:val="000D32BF"/>
    <w:rsid w:val="000D371B"/>
    <w:rsid w:val="000D3F05"/>
    <w:rsid w:val="000D437C"/>
    <w:rsid w:val="000D4CBF"/>
    <w:rsid w:val="000D4FB7"/>
    <w:rsid w:val="000D5016"/>
    <w:rsid w:val="000D5059"/>
    <w:rsid w:val="000D51F1"/>
    <w:rsid w:val="000D5250"/>
    <w:rsid w:val="000D58A8"/>
    <w:rsid w:val="000D5CA6"/>
    <w:rsid w:val="000D6012"/>
    <w:rsid w:val="000D6AA1"/>
    <w:rsid w:val="000D6F71"/>
    <w:rsid w:val="000D71C2"/>
    <w:rsid w:val="000D75B1"/>
    <w:rsid w:val="000D7A2D"/>
    <w:rsid w:val="000D7D18"/>
    <w:rsid w:val="000D7D4D"/>
    <w:rsid w:val="000E000F"/>
    <w:rsid w:val="000E0D6F"/>
    <w:rsid w:val="000E12CB"/>
    <w:rsid w:val="000E169C"/>
    <w:rsid w:val="000E187C"/>
    <w:rsid w:val="000E20A2"/>
    <w:rsid w:val="000E27B8"/>
    <w:rsid w:val="000E31F7"/>
    <w:rsid w:val="000E323D"/>
    <w:rsid w:val="000E347C"/>
    <w:rsid w:val="000E3E34"/>
    <w:rsid w:val="000E4065"/>
    <w:rsid w:val="000E425F"/>
    <w:rsid w:val="000E4318"/>
    <w:rsid w:val="000E4C00"/>
    <w:rsid w:val="000E53DB"/>
    <w:rsid w:val="000E551A"/>
    <w:rsid w:val="000E558F"/>
    <w:rsid w:val="000E5635"/>
    <w:rsid w:val="000E5DD2"/>
    <w:rsid w:val="000E5E29"/>
    <w:rsid w:val="000E5EB7"/>
    <w:rsid w:val="000E5F41"/>
    <w:rsid w:val="000E6130"/>
    <w:rsid w:val="000E6862"/>
    <w:rsid w:val="000E6ACD"/>
    <w:rsid w:val="000E6C3A"/>
    <w:rsid w:val="000E71DB"/>
    <w:rsid w:val="000E731D"/>
    <w:rsid w:val="000E753B"/>
    <w:rsid w:val="000E7745"/>
    <w:rsid w:val="000E783F"/>
    <w:rsid w:val="000E7D53"/>
    <w:rsid w:val="000F013D"/>
    <w:rsid w:val="000F061A"/>
    <w:rsid w:val="000F12AC"/>
    <w:rsid w:val="000F18FB"/>
    <w:rsid w:val="000F1A7A"/>
    <w:rsid w:val="000F1AA0"/>
    <w:rsid w:val="000F2320"/>
    <w:rsid w:val="000F26C7"/>
    <w:rsid w:val="000F2D77"/>
    <w:rsid w:val="000F2D8F"/>
    <w:rsid w:val="000F2E21"/>
    <w:rsid w:val="000F2E63"/>
    <w:rsid w:val="000F2E9B"/>
    <w:rsid w:val="000F3119"/>
    <w:rsid w:val="000F3166"/>
    <w:rsid w:val="000F33FD"/>
    <w:rsid w:val="000F39EB"/>
    <w:rsid w:val="000F3BE7"/>
    <w:rsid w:val="000F3E50"/>
    <w:rsid w:val="000F426E"/>
    <w:rsid w:val="000F4F05"/>
    <w:rsid w:val="000F5266"/>
    <w:rsid w:val="000F5339"/>
    <w:rsid w:val="000F54CB"/>
    <w:rsid w:val="000F55BB"/>
    <w:rsid w:val="000F5659"/>
    <w:rsid w:val="000F57AF"/>
    <w:rsid w:val="000F5CC0"/>
    <w:rsid w:val="000F5D8B"/>
    <w:rsid w:val="000F5DA8"/>
    <w:rsid w:val="000F5DB6"/>
    <w:rsid w:val="000F5E4A"/>
    <w:rsid w:val="000F6001"/>
    <w:rsid w:val="000F603E"/>
    <w:rsid w:val="000F6938"/>
    <w:rsid w:val="000F7106"/>
    <w:rsid w:val="000F76D5"/>
    <w:rsid w:val="000F7DE1"/>
    <w:rsid w:val="000F7EF8"/>
    <w:rsid w:val="0010022A"/>
    <w:rsid w:val="001002DF"/>
    <w:rsid w:val="00101303"/>
    <w:rsid w:val="00101E52"/>
    <w:rsid w:val="00102248"/>
    <w:rsid w:val="0010248D"/>
    <w:rsid w:val="001024B7"/>
    <w:rsid w:val="0010296A"/>
    <w:rsid w:val="00102D8D"/>
    <w:rsid w:val="00103327"/>
    <w:rsid w:val="00103ADB"/>
    <w:rsid w:val="00103C0B"/>
    <w:rsid w:val="00104008"/>
    <w:rsid w:val="0010413A"/>
    <w:rsid w:val="0010461C"/>
    <w:rsid w:val="00104675"/>
    <w:rsid w:val="00104C53"/>
    <w:rsid w:val="0010529D"/>
    <w:rsid w:val="001053DA"/>
    <w:rsid w:val="001055ED"/>
    <w:rsid w:val="0010577D"/>
    <w:rsid w:val="00105FFD"/>
    <w:rsid w:val="00106128"/>
    <w:rsid w:val="0010647C"/>
    <w:rsid w:val="001066DD"/>
    <w:rsid w:val="00106BF7"/>
    <w:rsid w:val="0010715B"/>
    <w:rsid w:val="001071FF"/>
    <w:rsid w:val="0010725D"/>
    <w:rsid w:val="001079F3"/>
    <w:rsid w:val="00107D56"/>
    <w:rsid w:val="00110C9F"/>
    <w:rsid w:val="0011124C"/>
    <w:rsid w:val="001113D6"/>
    <w:rsid w:val="001116ED"/>
    <w:rsid w:val="00111C85"/>
    <w:rsid w:val="00111EB3"/>
    <w:rsid w:val="001120F6"/>
    <w:rsid w:val="001124A8"/>
    <w:rsid w:val="00112F34"/>
    <w:rsid w:val="001132EC"/>
    <w:rsid w:val="00113AFB"/>
    <w:rsid w:val="00114198"/>
    <w:rsid w:val="00114220"/>
    <w:rsid w:val="00114418"/>
    <w:rsid w:val="00114AB7"/>
    <w:rsid w:val="00114C02"/>
    <w:rsid w:val="00115583"/>
    <w:rsid w:val="00115721"/>
    <w:rsid w:val="001159F5"/>
    <w:rsid w:val="00115A7C"/>
    <w:rsid w:val="00115E8E"/>
    <w:rsid w:val="00115EB5"/>
    <w:rsid w:val="0011621E"/>
    <w:rsid w:val="00116773"/>
    <w:rsid w:val="00116AC8"/>
    <w:rsid w:val="001174A1"/>
    <w:rsid w:val="0011751D"/>
    <w:rsid w:val="00117A61"/>
    <w:rsid w:val="00117B2A"/>
    <w:rsid w:val="00117C2D"/>
    <w:rsid w:val="00117D5A"/>
    <w:rsid w:val="00121F04"/>
    <w:rsid w:val="00122DB3"/>
    <w:rsid w:val="00123C85"/>
    <w:rsid w:val="0012451D"/>
    <w:rsid w:val="001245F1"/>
    <w:rsid w:val="001247EA"/>
    <w:rsid w:val="001252D3"/>
    <w:rsid w:val="0012576F"/>
    <w:rsid w:val="0012633C"/>
    <w:rsid w:val="00126376"/>
    <w:rsid w:val="0012676A"/>
    <w:rsid w:val="00126ECB"/>
    <w:rsid w:val="00130030"/>
    <w:rsid w:val="0013042F"/>
    <w:rsid w:val="001307AA"/>
    <w:rsid w:val="00130EFE"/>
    <w:rsid w:val="001311E5"/>
    <w:rsid w:val="00131514"/>
    <w:rsid w:val="001317F1"/>
    <w:rsid w:val="00131B5C"/>
    <w:rsid w:val="001320F9"/>
    <w:rsid w:val="001321E7"/>
    <w:rsid w:val="00132311"/>
    <w:rsid w:val="0013282B"/>
    <w:rsid w:val="00132C5C"/>
    <w:rsid w:val="00132E52"/>
    <w:rsid w:val="00133448"/>
    <w:rsid w:val="001337DB"/>
    <w:rsid w:val="001338F4"/>
    <w:rsid w:val="0013403E"/>
    <w:rsid w:val="00134322"/>
    <w:rsid w:val="00134598"/>
    <w:rsid w:val="00134998"/>
    <w:rsid w:val="00135139"/>
    <w:rsid w:val="0013557D"/>
    <w:rsid w:val="0013572C"/>
    <w:rsid w:val="0013599D"/>
    <w:rsid w:val="00135A8B"/>
    <w:rsid w:val="00136326"/>
    <w:rsid w:val="00136723"/>
    <w:rsid w:val="00137E3B"/>
    <w:rsid w:val="00137E53"/>
    <w:rsid w:val="001401C1"/>
    <w:rsid w:val="0014031D"/>
    <w:rsid w:val="00140777"/>
    <w:rsid w:val="001408CC"/>
    <w:rsid w:val="00140BB7"/>
    <w:rsid w:val="00140D49"/>
    <w:rsid w:val="00140D61"/>
    <w:rsid w:val="00140E94"/>
    <w:rsid w:val="0014116F"/>
    <w:rsid w:val="00141332"/>
    <w:rsid w:val="001415F9"/>
    <w:rsid w:val="001418B4"/>
    <w:rsid w:val="001418DC"/>
    <w:rsid w:val="00141B8D"/>
    <w:rsid w:val="00141BD1"/>
    <w:rsid w:val="00141F42"/>
    <w:rsid w:val="001421F8"/>
    <w:rsid w:val="00142B49"/>
    <w:rsid w:val="00142CDF"/>
    <w:rsid w:val="00143941"/>
    <w:rsid w:val="00143D88"/>
    <w:rsid w:val="001442DD"/>
    <w:rsid w:val="00144ABF"/>
    <w:rsid w:val="0014551F"/>
    <w:rsid w:val="00145975"/>
    <w:rsid w:val="00145B5D"/>
    <w:rsid w:val="00145D9C"/>
    <w:rsid w:val="00145E8A"/>
    <w:rsid w:val="0014607B"/>
    <w:rsid w:val="001463DF"/>
    <w:rsid w:val="00146D21"/>
    <w:rsid w:val="00146E45"/>
    <w:rsid w:val="001473D4"/>
    <w:rsid w:val="001479C0"/>
    <w:rsid w:val="00147A8B"/>
    <w:rsid w:val="00147C11"/>
    <w:rsid w:val="00147C9F"/>
    <w:rsid w:val="00150440"/>
    <w:rsid w:val="001508B7"/>
    <w:rsid w:val="00150D1A"/>
    <w:rsid w:val="00151150"/>
    <w:rsid w:val="001513B6"/>
    <w:rsid w:val="00151466"/>
    <w:rsid w:val="00151DE7"/>
    <w:rsid w:val="00152008"/>
    <w:rsid w:val="0015200A"/>
    <w:rsid w:val="0015218F"/>
    <w:rsid w:val="00152397"/>
    <w:rsid w:val="00152464"/>
    <w:rsid w:val="00152E38"/>
    <w:rsid w:val="00152FB9"/>
    <w:rsid w:val="00153173"/>
    <w:rsid w:val="001538D7"/>
    <w:rsid w:val="0015391F"/>
    <w:rsid w:val="00153B91"/>
    <w:rsid w:val="00153EB4"/>
    <w:rsid w:val="0015454E"/>
    <w:rsid w:val="0015563F"/>
    <w:rsid w:val="0015573B"/>
    <w:rsid w:val="00155DFC"/>
    <w:rsid w:val="00155EBB"/>
    <w:rsid w:val="0015687B"/>
    <w:rsid w:val="00156AC4"/>
    <w:rsid w:val="00156C68"/>
    <w:rsid w:val="00156CA1"/>
    <w:rsid w:val="0015703C"/>
    <w:rsid w:val="001573DB"/>
    <w:rsid w:val="00157904"/>
    <w:rsid w:val="001603ED"/>
    <w:rsid w:val="00160740"/>
    <w:rsid w:val="0016078F"/>
    <w:rsid w:val="00160C7B"/>
    <w:rsid w:val="001610CB"/>
    <w:rsid w:val="0016137A"/>
    <w:rsid w:val="00161EF9"/>
    <w:rsid w:val="00162066"/>
    <w:rsid w:val="0016237B"/>
    <w:rsid w:val="001627C8"/>
    <w:rsid w:val="00162A87"/>
    <w:rsid w:val="00162ECF"/>
    <w:rsid w:val="00162FAF"/>
    <w:rsid w:val="00163AD1"/>
    <w:rsid w:val="00163B1C"/>
    <w:rsid w:val="00164126"/>
    <w:rsid w:val="00164634"/>
    <w:rsid w:val="00164964"/>
    <w:rsid w:val="00164C4F"/>
    <w:rsid w:val="00164D99"/>
    <w:rsid w:val="00164E85"/>
    <w:rsid w:val="00165CE5"/>
    <w:rsid w:val="00165F16"/>
    <w:rsid w:val="00166249"/>
    <w:rsid w:val="00166649"/>
    <w:rsid w:val="00166650"/>
    <w:rsid w:val="0016673B"/>
    <w:rsid w:val="00166833"/>
    <w:rsid w:val="00166867"/>
    <w:rsid w:val="00166EA8"/>
    <w:rsid w:val="00167477"/>
    <w:rsid w:val="001675AC"/>
    <w:rsid w:val="00167720"/>
    <w:rsid w:val="00167891"/>
    <w:rsid w:val="0016792C"/>
    <w:rsid w:val="00167ABA"/>
    <w:rsid w:val="00167D37"/>
    <w:rsid w:val="0017000A"/>
    <w:rsid w:val="00170524"/>
    <w:rsid w:val="00170621"/>
    <w:rsid w:val="001708C9"/>
    <w:rsid w:val="00171143"/>
    <w:rsid w:val="001715AB"/>
    <w:rsid w:val="00171A23"/>
    <w:rsid w:val="00171B25"/>
    <w:rsid w:val="00171B8A"/>
    <w:rsid w:val="00171D4B"/>
    <w:rsid w:val="00172191"/>
    <w:rsid w:val="001722F4"/>
    <w:rsid w:val="00172483"/>
    <w:rsid w:val="0017248A"/>
    <w:rsid w:val="001728F5"/>
    <w:rsid w:val="00172B5E"/>
    <w:rsid w:val="00172FFE"/>
    <w:rsid w:val="00173047"/>
    <w:rsid w:val="00173391"/>
    <w:rsid w:val="00173A74"/>
    <w:rsid w:val="00173B89"/>
    <w:rsid w:val="00173DF6"/>
    <w:rsid w:val="0017400E"/>
    <w:rsid w:val="001744EC"/>
    <w:rsid w:val="00174747"/>
    <w:rsid w:val="00174CA7"/>
    <w:rsid w:val="001758D7"/>
    <w:rsid w:val="00175B3E"/>
    <w:rsid w:val="00175F46"/>
    <w:rsid w:val="001763C7"/>
    <w:rsid w:val="001764EC"/>
    <w:rsid w:val="00176B4E"/>
    <w:rsid w:val="00176D4A"/>
    <w:rsid w:val="0017704E"/>
    <w:rsid w:val="00177297"/>
    <w:rsid w:val="001777DB"/>
    <w:rsid w:val="00177B46"/>
    <w:rsid w:val="00177F1D"/>
    <w:rsid w:val="00180031"/>
    <w:rsid w:val="0018007B"/>
    <w:rsid w:val="001801D8"/>
    <w:rsid w:val="001802A5"/>
    <w:rsid w:val="0018038E"/>
    <w:rsid w:val="00180C09"/>
    <w:rsid w:val="00180EF2"/>
    <w:rsid w:val="00181682"/>
    <w:rsid w:val="00181CD0"/>
    <w:rsid w:val="00181E38"/>
    <w:rsid w:val="00181FB9"/>
    <w:rsid w:val="001826E3"/>
    <w:rsid w:val="00182AF1"/>
    <w:rsid w:val="00182F70"/>
    <w:rsid w:val="0018359C"/>
    <w:rsid w:val="00183AC0"/>
    <w:rsid w:val="00184027"/>
    <w:rsid w:val="001841F3"/>
    <w:rsid w:val="00184C1D"/>
    <w:rsid w:val="00184D17"/>
    <w:rsid w:val="00184D7E"/>
    <w:rsid w:val="001855FB"/>
    <w:rsid w:val="0018577C"/>
    <w:rsid w:val="00185BE5"/>
    <w:rsid w:val="00185CE1"/>
    <w:rsid w:val="0018685B"/>
    <w:rsid w:val="00187433"/>
    <w:rsid w:val="00187438"/>
    <w:rsid w:val="001877EA"/>
    <w:rsid w:val="00187998"/>
    <w:rsid w:val="00187BCE"/>
    <w:rsid w:val="00187EB0"/>
    <w:rsid w:val="00190577"/>
    <w:rsid w:val="00190798"/>
    <w:rsid w:val="00190A2C"/>
    <w:rsid w:val="00190AB9"/>
    <w:rsid w:val="00190B10"/>
    <w:rsid w:val="00190BF6"/>
    <w:rsid w:val="00190D19"/>
    <w:rsid w:val="0019127B"/>
    <w:rsid w:val="001914B2"/>
    <w:rsid w:val="0019269F"/>
    <w:rsid w:val="00192D5D"/>
    <w:rsid w:val="00192EDA"/>
    <w:rsid w:val="00193D22"/>
    <w:rsid w:val="00193E1C"/>
    <w:rsid w:val="00194091"/>
    <w:rsid w:val="001941D5"/>
    <w:rsid w:val="00194247"/>
    <w:rsid w:val="001942D5"/>
    <w:rsid w:val="00194940"/>
    <w:rsid w:val="00194B90"/>
    <w:rsid w:val="00194CA7"/>
    <w:rsid w:val="0019501E"/>
    <w:rsid w:val="001951A7"/>
    <w:rsid w:val="0019549D"/>
    <w:rsid w:val="001954C9"/>
    <w:rsid w:val="00195D59"/>
    <w:rsid w:val="001960EC"/>
    <w:rsid w:val="001962A6"/>
    <w:rsid w:val="001962AC"/>
    <w:rsid w:val="00196392"/>
    <w:rsid w:val="00196627"/>
    <w:rsid w:val="001966E3"/>
    <w:rsid w:val="00196D65"/>
    <w:rsid w:val="00196DAD"/>
    <w:rsid w:val="00197342"/>
    <w:rsid w:val="001975A4"/>
    <w:rsid w:val="00197A0A"/>
    <w:rsid w:val="00197F90"/>
    <w:rsid w:val="001A0121"/>
    <w:rsid w:val="001A0221"/>
    <w:rsid w:val="001A0474"/>
    <w:rsid w:val="001A0757"/>
    <w:rsid w:val="001A0E0F"/>
    <w:rsid w:val="001A12D1"/>
    <w:rsid w:val="001A190A"/>
    <w:rsid w:val="001A1F53"/>
    <w:rsid w:val="001A26FB"/>
    <w:rsid w:val="001A2C8D"/>
    <w:rsid w:val="001A330F"/>
    <w:rsid w:val="001A33C5"/>
    <w:rsid w:val="001A33D2"/>
    <w:rsid w:val="001A3F30"/>
    <w:rsid w:val="001A4805"/>
    <w:rsid w:val="001A4B4F"/>
    <w:rsid w:val="001A4DB0"/>
    <w:rsid w:val="001A4EE0"/>
    <w:rsid w:val="001A4F5A"/>
    <w:rsid w:val="001A4FBC"/>
    <w:rsid w:val="001A54D3"/>
    <w:rsid w:val="001A587B"/>
    <w:rsid w:val="001A5AC4"/>
    <w:rsid w:val="001A5F60"/>
    <w:rsid w:val="001A650C"/>
    <w:rsid w:val="001A6704"/>
    <w:rsid w:val="001A6739"/>
    <w:rsid w:val="001A69E7"/>
    <w:rsid w:val="001A7093"/>
    <w:rsid w:val="001A74D0"/>
    <w:rsid w:val="001A7670"/>
    <w:rsid w:val="001A7A20"/>
    <w:rsid w:val="001A7A3F"/>
    <w:rsid w:val="001A7B67"/>
    <w:rsid w:val="001B0464"/>
    <w:rsid w:val="001B090C"/>
    <w:rsid w:val="001B0AF8"/>
    <w:rsid w:val="001B10F2"/>
    <w:rsid w:val="001B1BDA"/>
    <w:rsid w:val="001B1C01"/>
    <w:rsid w:val="001B1CB2"/>
    <w:rsid w:val="001B1F50"/>
    <w:rsid w:val="001B1FBD"/>
    <w:rsid w:val="001B20ED"/>
    <w:rsid w:val="001B28C6"/>
    <w:rsid w:val="001B296C"/>
    <w:rsid w:val="001B29A8"/>
    <w:rsid w:val="001B2C75"/>
    <w:rsid w:val="001B2FB6"/>
    <w:rsid w:val="001B31A9"/>
    <w:rsid w:val="001B34E1"/>
    <w:rsid w:val="001B36BB"/>
    <w:rsid w:val="001B395B"/>
    <w:rsid w:val="001B3971"/>
    <w:rsid w:val="001B479F"/>
    <w:rsid w:val="001B4897"/>
    <w:rsid w:val="001B48D3"/>
    <w:rsid w:val="001B4A3C"/>
    <w:rsid w:val="001B4C14"/>
    <w:rsid w:val="001B5A0D"/>
    <w:rsid w:val="001B6872"/>
    <w:rsid w:val="001B6A6A"/>
    <w:rsid w:val="001B7126"/>
    <w:rsid w:val="001B7720"/>
    <w:rsid w:val="001B7B9E"/>
    <w:rsid w:val="001C01DB"/>
    <w:rsid w:val="001C025A"/>
    <w:rsid w:val="001C026F"/>
    <w:rsid w:val="001C059E"/>
    <w:rsid w:val="001C0636"/>
    <w:rsid w:val="001C0810"/>
    <w:rsid w:val="001C087F"/>
    <w:rsid w:val="001C0B02"/>
    <w:rsid w:val="001C0CEB"/>
    <w:rsid w:val="001C0DDD"/>
    <w:rsid w:val="001C0DE3"/>
    <w:rsid w:val="001C11AE"/>
    <w:rsid w:val="001C187A"/>
    <w:rsid w:val="001C18A1"/>
    <w:rsid w:val="001C19AA"/>
    <w:rsid w:val="001C1AF1"/>
    <w:rsid w:val="001C1D4F"/>
    <w:rsid w:val="001C1D6A"/>
    <w:rsid w:val="001C2126"/>
    <w:rsid w:val="001C2518"/>
    <w:rsid w:val="001C265B"/>
    <w:rsid w:val="001C2D2C"/>
    <w:rsid w:val="001C2FDC"/>
    <w:rsid w:val="001C36D9"/>
    <w:rsid w:val="001C3B5D"/>
    <w:rsid w:val="001C439E"/>
    <w:rsid w:val="001C4510"/>
    <w:rsid w:val="001C4CAC"/>
    <w:rsid w:val="001C51A1"/>
    <w:rsid w:val="001C570A"/>
    <w:rsid w:val="001C59F6"/>
    <w:rsid w:val="001C5FD8"/>
    <w:rsid w:val="001C6366"/>
    <w:rsid w:val="001C68B3"/>
    <w:rsid w:val="001C7019"/>
    <w:rsid w:val="001C7278"/>
    <w:rsid w:val="001C7680"/>
    <w:rsid w:val="001C7B04"/>
    <w:rsid w:val="001D0008"/>
    <w:rsid w:val="001D01F4"/>
    <w:rsid w:val="001D08D0"/>
    <w:rsid w:val="001D0E3F"/>
    <w:rsid w:val="001D1425"/>
    <w:rsid w:val="001D187F"/>
    <w:rsid w:val="001D22E0"/>
    <w:rsid w:val="001D22F7"/>
    <w:rsid w:val="001D25EF"/>
    <w:rsid w:val="001D26DC"/>
    <w:rsid w:val="001D28DF"/>
    <w:rsid w:val="001D2C4C"/>
    <w:rsid w:val="001D3250"/>
    <w:rsid w:val="001D362C"/>
    <w:rsid w:val="001D3829"/>
    <w:rsid w:val="001D3AE6"/>
    <w:rsid w:val="001D3AED"/>
    <w:rsid w:val="001D3C3B"/>
    <w:rsid w:val="001D435B"/>
    <w:rsid w:val="001D4793"/>
    <w:rsid w:val="001D4865"/>
    <w:rsid w:val="001D4A3C"/>
    <w:rsid w:val="001D4BE3"/>
    <w:rsid w:val="001D4CA5"/>
    <w:rsid w:val="001D516D"/>
    <w:rsid w:val="001D52F1"/>
    <w:rsid w:val="001D545D"/>
    <w:rsid w:val="001D54FE"/>
    <w:rsid w:val="001D55E1"/>
    <w:rsid w:val="001D6009"/>
    <w:rsid w:val="001D60B2"/>
    <w:rsid w:val="001D60D1"/>
    <w:rsid w:val="001D62EA"/>
    <w:rsid w:val="001D6B68"/>
    <w:rsid w:val="001D6C34"/>
    <w:rsid w:val="001D6F65"/>
    <w:rsid w:val="001D741F"/>
    <w:rsid w:val="001D7E53"/>
    <w:rsid w:val="001D7E5A"/>
    <w:rsid w:val="001E0821"/>
    <w:rsid w:val="001E0839"/>
    <w:rsid w:val="001E08BF"/>
    <w:rsid w:val="001E0A98"/>
    <w:rsid w:val="001E0FEB"/>
    <w:rsid w:val="001E12E5"/>
    <w:rsid w:val="001E16F8"/>
    <w:rsid w:val="001E1898"/>
    <w:rsid w:val="001E1A38"/>
    <w:rsid w:val="001E1B80"/>
    <w:rsid w:val="001E1BA8"/>
    <w:rsid w:val="001E1FD1"/>
    <w:rsid w:val="001E20D2"/>
    <w:rsid w:val="001E2305"/>
    <w:rsid w:val="001E23B9"/>
    <w:rsid w:val="001E2863"/>
    <w:rsid w:val="001E28F2"/>
    <w:rsid w:val="001E2928"/>
    <w:rsid w:val="001E2C73"/>
    <w:rsid w:val="001E33B9"/>
    <w:rsid w:val="001E33DC"/>
    <w:rsid w:val="001E389D"/>
    <w:rsid w:val="001E3951"/>
    <w:rsid w:val="001E3C1F"/>
    <w:rsid w:val="001E4F14"/>
    <w:rsid w:val="001E5400"/>
    <w:rsid w:val="001E55CC"/>
    <w:rsid w:val="001E55D9"/>
    <w:rsid w:val="001E6339"/>
    <w:rsid w:val="001E663A"/>
    <w:rsid w:val="001E6A34"/>
    <w:rsid w:val="001E6A9E"/>
    <w:rsid w:val="001E7156"/>
    <w:rsid w:val="001E7402"/>
    <w:rsid w:val="001E7410"/>
    <w:rsid w:val="001E7787"/>
    <w:rsid w:val="001E78F6"/>
    <w:rsid w:val="001E7CA5"/>
    <w:rsid w:val="001F04C7"/>
    <w:rsid w:val="001F0F66"/>
    <w:rsid w:val="001F132B"/>
    <w:rsid w:val="001F133B"/>
    <w:rsid w:val="001F1954"/>
    <w:rsid w:val="001F19C7"/>
    <w:rsid w:val="001F2739"/>
    <w:rsid w:val="001F283A"/>
    <w:rsid w:val="001F297E"/>
    <w:rsid w:val="001F31A9"/>
    <w:rsid w:val="001F3275"/>
    <w:rsid w:val="001F33DB"/>
    <w:rsid w:val="001F34FF"/>
    <w:rsid w:val="001F3BFE"/>
    <w:rsid w:val="001F3D51"/>
    <w:rsid w:val="001F443A"/>
    <w:rsid w:val="001F45F4"/>
    <w:rsid w:val="001F4856"/>
    <w:rsid w:val="001F4FA2"/>
    <w:rsid w:val="001F4FB8"/>
    <w:rsid w:val="001F5213"/>
    <w:rsid w:val="001F5B3B"/>
    <w:rsid w:val="001F5E1F"/>
    <w:rsid w:val="001F61A1"/>
    <w:rsid w:val="001F67EA"/>
    <w:rsid w:val="001F68D0"/>
    <w:rsid w:val="001F6BF3"/>
    <w:rsid w:val="001F725B"/>
    <w:rsid w:val="001F79B5"/>
    <w:rsid w:val="001F7CC3"/>
    <w:rsid w:val="001F7E6D"/>
    <w:rsid w:val="002003BB"/>
    <w:rsid w:val="00200594"/>
    <w:rsid w:val="002006C1"/>
    <w:rsid w:val="00200715"/>
    <w:rsid w:val="002009D1"/>
    <w:rsid w:val="00201390"/>
    <w:rsid w:val="00201690"/>
    <w:rsid w:val="00201842"/>
    <w:rsid w:val="00201A1A"/>
    <w:rsid w:val="00201E82"/>
    <w:rsid w:val="0020211C"/>
    <w:rsid w:val="00202134"/>
    <w:rsid w:val="00202CFD"/>
    <w:rsid w:val="00202D6F"/>
    <w:rsid w:val="00203173"/>
    <w:rsid w:val="00203758"/>
    <w:rsid w:val="002038E5"/>
    <w:rsid w:val="00203992"/>
    <w:rsid w:val="00203DA2"/>
    <w:rsid w:val="002040A3"/>
    <w:rsid w:val="002041F7"/>
    <w:rsid w:val="0020464E"/>
    <w:rsid w:val="0020520F"/>
    <w:rsid w:val="002064CA"/>
    <w:rsid w:val="00206501"/>
    <w:rsid w:val="00206569"/>
    <w:rsid w:val="0020660B"/>
    <w:rsid w:val="00206DED"/>
    <w:rsid w:val="002074CF"/>
    <w:rsid w:val="00207729"/>
    <w:rsid w:val="00207B06"/>
    <w:rsid w:val="00207E89"/>
    <w:rsid w:val="00210018"/>
    <w:rsid w:val="00210081"/>
    <w:rsid w:val="002102CC"/>
    <w:rsid w:val="002109EA"/>
    <w:rsid w:val="00210B44"/>
    <w:rsid w:val="0021163C"/>
    <w:rsid w:val="00211746"/>
    <w:rsid w:val="002117E0"/>
    <w:rsid w:val="00211D0F"/>
    <w:rsid w:val="00212026"/>
    <w:rsid w:val="002129B0"/>
    <w:rsid w:val="00212D9B"/>
    <w:rsid w:val="0021308D"/>
    <w:rsid w:val="0021351D"/>
    <w:rsid w:val="002135BB"/>
    <w:rsid w:val="00213604"/>
    <w:rsid w:val="00213779"/>
    <w:rsid w:val="00213933"/>
    <w:rsid w:val="0021434F"/>
    <w:rsid w:val="0021438D"/>
    <w:rsid w:val="002147A8"/>
    <w:rsid w:val="002149DD"/>
    <w:rsid w:val="00214C34"/>
    <w:rsid w:val="00215197"/>
    <w:rsid w:val="00216048"/>
    <w:rsid w:val="002160E7"/>
    <w:rsid w:val="002169E3"/>
    <w:rsid w:val="00216E87"/>
    <w:rsid w:val="00217735"/>
    <w:rsid w:val="00217F08"/>
    <w:rsid w:val="00220189"/>
    <w:rsid w:val="00220612"/>
    <w:rsid w:val="00220AAE"/>
    <w:rsid w:val="00220C4F"/>
    <w:rsid w:val="00220E94"/>
    <w:rsid w:val="00220EFA"/>
    <w:rsid w:val="002212EF"/>
    <w:rsid w:val="00221867"/>
    <w:rsid w:val="0022294E"/>
    <w:rsid w:val="002229FB"/>
    <w:rsid w:val="00222B1B"/>
    <w:rsid w:val="00222BDD"/>
    <w:rsid w:val="00222F5F"/>
    <w:rsid w:val="00223973"/>
    <w:rsid w:val="00223B4D"/>
    <w:rsid w:val="00223BCC"/>
    <w:rsid w:val="00223FD9"/>
    <w:rsid w:val="002247FA"/>
    <w:rsid w:val="00224E37"/>
    <w:rsid w:val="0022501A"/>
    <w:rsid w:val="00225025"/>
    <w:rsid w:val="0022542E"/>
    <w:rsid w:val="00225468"/>
    <w:rsid w:val="00225786"/>
    <w:rsid w:val="00225EB7"/>
    <w:rsid w:val="00226010"/>
    <w:rsid w:val="00226A76"/>
    <w:rsid w:val="00226C8E"/>
    <w:rsid w:val="0022730E"/>
    <w:rsid w:val="0022768C"/>
    <w:rsid w:val="002276A2"/>
    <w:rsid w:val="00230547"/>
    <w:rsid w:val="002312E0"/>
    <w:rsid w:val="00231335"/>
    <w:rsid w:val="00231C3F"/>
    <w:rsid w:val="00232294"/>
    <w:rsid w:val="00232503"/>
    <w:rsid w:val="002325C5"/>
    <w:rsid w:val="002329F1"/>
    <w:rsid w:val="00232D45"/>
    <w:rsid w:val="00232DC5"/>
    <w:rsid w:val="00233038"/>
    <w:rsid w:val="00233240"/>
    <w:rsid w:val="0023347D"/>
    <w:rsid w:val="0023364B"/>
    <w:rsid w:val="002340D3"/>
    <w:rsid w:val="0023418E"/>
    <w:rsid w:val="002344B6"/>
    <w:rsid w:val="002348FA"/>
    <w:rsid w:val="00234A70"/>
    <w:rsid w:val="00234ACA"/>
    <w:rsid w:val="00234DAA"/>
    <w:rsid w:val="0023528C"/>
    <w:rsid w:val="002354A3"/>
    <w:rsid w:val="0023557C"/>
    <w:rsid w:val="00235884"/>
    <w:rsid w:val="00235B3A"/>
    <w:rsid w:val="00235C24"/>
    <w:rsid w:val="00235DB1"/>
    <w:rsid w:val="0023642A"/>
    <w:rsid w:val="00236B7B"/>
    <w:rsid w:val="00236C13"/>
    <w:rsid w:val="002371B3"/>
    <w:rsid w:val="002371DB"/>
    <w:rsid w:val="00237315"/>
    <w:rsid w:val="00237F94"/>
    <w:rsid w:val="00237FD4"/>
    <w:rsid w:val="00240E03"/>
    <w:rsid w:val="00240F70"/>
    <w:rsid w:val="00240FF0"/>
    <w:rsid w:val="0024129C"/>
    <w:rsid w:val="00241985"/>
    <w:rsid w:val="00241E29"/>
    <w:rsid w:val="00241F41"/>
    <w:rsid w:val="00242015"/>
    <w:rsid w:val="002421AD"/>
    <w:rsid w:val="0024269B"/>
    <w:rsid w:val="0024287C"/>
    <w:rsid w:val="0024297A"/>
    <w:rsid w:val="0024297B"/>
    <w:rsid w:val="00242AE0"/>
    <w:rsid w:val="0024338E"/>
    <w:rsid w:val="0024365B"/>
    <w:rsid w:val="00243FD5"/>
    <w:rsid w:val="0024405E"/>
    <w:rsid w:val="0024428E"/>
    <w:rsid w:val="002445E2"/>
    <w:rsid w:val="00244930"/>
    <w:rsid w:val="0024497A"/>
    <w:rsid w:val="00244C23"/>
    <w:rsid w:val="00244DD1"/>
    <w:rsid w:val="00244E93"/>
    <w:rsid w:val="00244F15"/>
    <w:rsid w:val="00245238"/>
    <w:rsid w:val="00245F4A"/>
    <w:rsid w:val="002466ED"/>
    <w:rsid w:val="00246BB4"/>
    <w:rsid w:val="00246BCD"/>
    <w:rsid w:val="0024738F"/>
    <w:rsid w:val="00247737"/>
    <w:rsid w:val="00247C03"/>
    <w:rsid w:val="00247CB5"/>
    <w:rsid w:val="0025022A"/>
    <w:rsid w:val="002520EB"/>
    <w:rsid w:val="002522E9"/>
    <w:rsid w:val="00252CC9"/>
    <w:rsid w:val="002532CD"/>
    <w:rsid w:val="00253435"/>
    <w:rsid w:val="00253A3A"/>
    <w:rsid w:val="00253F07"/>
    <w:rsid w:val="00254128"/>
    <w:rsid w:val="002549DB"/>
    <w:rsid w:val="00254D9B"/>
    <w:rsid w:val="00254DA2"/>
    <w:rsid w:val="00254FD8"/>
    <w:rsid w:val="00255312"/>
    <w:rsid w:val="00255366"/>
    <w:rsid w:val="002564EE"/>
    <w:rsid w:val="002565CB"/>
    <w:rsid w:val="00256888"/>
    <w:rsid w:val="00256BF8"/>
    <w:rsid w:val="00256D11"/>
    <w:rsid w:val="002570CA"/>
    <w:rsid w:val="0025710B"/>
    <w:rsid w:val="00257A5C"/>
    <w:rsid w:val="0026021A"/>
    <w:rsid w:val="00260DA9"/>
    <w:rsid w:val="0026107A"/>
    <w:rsid w:val="00261339"/>
    <w:rsid w:val="00261D31"/>
    <w:rsid w:val="00262131"/>
    <w:rsid w:val="0026219D"/>
    <w:rsid w:val="00262212"/>
    <w:rsid w:val="0026249E"/>
    <w:rsid w:val="00263146"/>
    <w:rsid w:val="00263560"/>
    <w:rsid w:val="00263757"/>
    <w:rsid w:val="00263B55"/>
    <w:rsid w:val="00263E9A"/>
    <w:rsid w:val="00263FCC"/>
    <w:rsid w:val="002642D3"/>
    <w:rsid w:val="00264477"/>
    <w:rsid w:val="00264896"/>
    <w:rsid w:val="00264C05"/>
    <w:rsid w:val="00264CA3"/>
    <w:rsid w:val="00264E3D"/>
    <w:rsid w:val="00264EBB"/>
    <w:rsid w:val="0026509C"/>
    <w:rsid w:val="002652F2"/>
    <w:rsid w:val="00265B12"/>
    <w:rsid w:val="00265E22"/>
    <w:rsid w:val="002660FE"/>
    <w:rsid w:val="002663BF"/>
    <w:rsid w:val="002663EE"/>
    <w:rsid w:val="00266A17"/>
    <w:rsid w:val="00266C66"/>
    <w:rsid w:val="00266DCB"/>
    <w:rsid w:val="00266EB7"/>
    <w:rsid w:val="0026709C"/>
    <w:rsid w:val="002675A1"/>
    <w:rsid w:val="00267A92"/>
    <w:rsid w:val="00267A9E"/>
    <w:rsid w:val="00267AF3"/>
    <w:rsid w:val="0027002A"/>
    <w:rsid w:val="002701E9"/>
    <w:rsid w:val="002703AF"/>
    <w:rsid w:val="00270469"/>
    <w:rsid w:val="0027047B"/>
    <w:rsid w:val="002704FF"/>
    <w:rsid w:val="002706FC"/>
    <w:rsid w:val="00270805"/>
    <w:rsid w:val="00271C4D"/>
    <w:rsid w:val="0027224E"/>
    <w:rsid w:val="002728C9"/>
    <w:rsid w:val="00272D53"/>
    <w:rsid w:val="002734F1"/>
    <w:rsid w:val="00273DB8"/>
    <w:rsid w:val="00274030"/>
    <w:rsid w:val="002748EB"/>
    <w:rsid w:val="002749C7"/>
    <w:rsid w:val="00274EC2"/>
    <w:rsid w:val="00274FA5"/>
    <w:rsid w:val="00275410"/>
    <w:rsid w:val="002754DB"/>
    <w:rsid w:val="00275785"/>
    <w:rsid w:val="00275BE4"/>
    <w:rsid w:val="00275D48"/>
    <w:rsid w:val="00275DCC"/>
    <w:rsid w:val="002762C2"/>
    <w:rsid w:val="0027642B"/>
    <w:rsid w:val="00276839"/>
    <w:rsid w:val="0027699B"/>
    <w:rsid w:val="002769FB"/>
    <w:rsid w:val="00276CFC"/>
    <w:rsid w:val="00276D42"/>
    <w:rsid w:val="00277666"/>
    <w:rsid w:val="00277A52"/>
    <w:rsid w:val="0028022A"/>
    <w:rsid w:val="00280867"/>
    <w:rsid w:val="0028153D"/>
    <w:rsid w:val="002815C8"/>
    <w:rsid w:val="0028220F"/>
    <w:rsid w:val="00282509"/>
    <w:rsid w:val="00282665"/>
    <w:rsid w:val="00282821"/>
    <w:rsid w:val="002828AC"/>
    <w:rsid w:val="00283299"/>
    <w:rsid w:val="0028335E"/>
    <w:rsid w:val="0028396C"/>
    <w:rsid w:val="002843B0"/>
    <w:rsid w:val="00284D72"/>
    <w:rsid w:val="00284E3F"/>
    <w:rsid w:val="00284F86"/>
    <w:rsid w:val="00285199"/>
    <w:rsid w:val="0028520B"/>
    <w:rsid w:val="00285391"/>
    <w:rsid w:val="002857E3"/>
    <w:rsid w:val="00285E15"/>
    <w:rsid w:val="00285E89"/>
    <w:rsid w:val="00286399"/>
    <w:rsid w:val="00286626"/>
    <w:rsid w:val="00286642"/>
    <w:rsid w:val="002866E5"/>
    <w:rsid w:val="002868AD"/>
    <w:rsid w:val="00286C1C"/>
    <w:rsid w:val="0028717C"/>
    <w:rsid w:val="00287594"/>
    <w:rsid w:val="00287671"/>
    <w:rsid w:val="00287780"/>
    <w:rsid w:val="002878EB"/>
    <w:rsid w:val="00287ABC"/>
    <w:rsid w:val="00287E58"/>
    <w:rsid w:val="002900B6"/>
    <w:rsid w:val="002902BC"/>
    <w:rsid w:val="00290CF1"/>
    <w:rsid w:val="00290D7A"/>
    <w:rsid w:val="002917EE"/>
    <w:rsid w:val="00291B15"/>
    <w:rsid w:val="00291E34"/>
    <w:rsid w:val="00292088"/>
    <w:rsid w:val="002921CC"/>
    <w:rsid w:val="0029224C"/>
    <w:rsid w:val="00292281"/>
    <w:rsid w:val="0029308B"/>
    <w:rsid w:val="002932D3"/>
    <w:rsid w:val="00293310"/>
    <w:rsid w:val="002933BC"/>
    <w:rsid w:val="00293587"/>
    <w:rsid w:val="00293858"/>
    <w:rsid w:val="00293A6C"/>
    <w:rsid w:val="00293CE4"/>
    <w:rsid w:val="002942B5"/>
    <w:rsid w:val="002947D4"/>
    <w:rsid w:val="00294A34"/>
    <w:rsid w:val="00295C95"/>
    <w:rsid w:val="00295D1D"/>
    <w:rsid w:val="00295DCE"/>
    <w:rsid w:val="00295E60"/>
    <w:rsid w:val="002961B7"/>
    <w:rsid w:val="002963D8"/>
    <w:rsid w:val="0029643B"/>
    <w:rsid w:val="00296597"/>
    <w:rsid w:val="002972B6"/>
    <w:rsid w:val="00297314"/>
    <w:rsid w:val="0029739A"/>
    <w:rsid w:val="00297685"/>
    <w:rsid w:val="00297AC2"/>
    <w:rsid w:val="00297BB6"/>
    <w:rsid w:val="00297D81"/>
    <w:rsid w:val="00297DDB"/>
    <w:rsid w:val="002A0DAD"/>
    <w:rsid w:val="002A117D"/>
    <w:rsid w:val="002A1614"/>
    <w:rsid w:val="002A1A4F"/>
    <w:rsid w:val="002A1BAA"/>
    <w:rsid w:val="002A1FC1"/>
    <w:rsid w:val="002A2980"/>
    <w:rsid w:val="002A2AC7"/>
    <w:rsid w:val="002A3137"/>
    <w:rsid w:val="002A333E"/>
    <w:rsid w:val="002A34E3"/>
    <w:rsid w:val="002A3768"/>
    <w:rsid w:val="002A3BE7"/>
    <w:rsid w:val="002A4215"/>
    <w:rsid w:val="002A436C"/>
    <w:rsid w:val="002A44F8"/>
    <w:rsid w:val="002A4B1B"/>
    <w:rsid w:val="002A4C63"/>
    <w:rsid w:val="002A4DD8"/>
    <w:rsid w:val="002A50F3"/>
    <w:rsid w:val="002A5772"/>
    <w:rsid w:val="002A5BE2"/>
    <w:rsid w:val="002A6328"/>
    <w:rsid w:val="002A63B9"/>
    <w:rsid w:val="002A640B"/>
    <w:rsid w:val="002A6469"/>
    <w:rsid w:val="002A66B9"/>
    <w:rsid w:val="002A6833"/>
    <w:rsid w:val="002A6B78"/>
    <w:rsid w:val="002A6F5E"/>
    <w:rsid w:val="002A7051"/>
    <w:rsid w:val="002A747A"/>
    <w:rsid w:val="002A780C"/>
    <w:rsid w:val="002B0116"/>
    <w:rsid w:val="002B0D09"/>
    <w:rsid w:val="002B0E0F"/>
    <w:rsid w:val="002B13A3"/>
    <w:rsid w:val="002B16B1"/>
    <w:rsid w:val="002B1970"/>
    <w:rsid w:val="002B1BB0"/>
    <w:rsid w:val="002B1BEA"/>
    <w:rsid w:val="002B2659"/>
    <w:rsid w:val="002B2692"/>
    <w:rsid w:val="002B2F13"/>
    <w:rsid w:val="002B2FDF"/>
    <w:rsid w:val="002B3616"/>
    <w:rsid w:val="002B378B"/>
    <w:rsid w:val="002B3A2D"/>
    <w:rsid w:val="002B3BC6"/>
    <w:rsid w:val="002B3CAB"/>
    <w:rsid w:val="002B3CE6"/>
    <w:rsid w:val="002B3D5D"/>
    <w:rsid w:val="002B3D83"/>
    <w:rsid w:val="002B44B0"/>
    <w:rsid w:val="002B548A"/>
    <w:rsid w:val="002B55EB"/>
    <w:rsid w:val="002B5787"/>
    <w:rsid w:val="002B5C36"/>
    <w:rsid w:val="002B5ED8"/>
    <w:rsid w:val="002B66D5"/>
    <w:rsid w:val="002B6772"/>
    <w:rsid w:val="002B6C62"/>
    <w:rsid w:val="002B788A"/>
    <w:rsid w:val="002B7D5E"/>
    <w:rsid w:val="002B7F82"/>
    <w:rsid w:val="002C006E"/>
    <w:rsid w:val="002C02A9"/>
    <w:rsid w:val="002C0653"/>
    <w:rsid w:val="002C0B64"/>
    <w:rsid w:val="002C0BCD"/>
    <w:rsid w:val="002C0D01"/>
    <w:rsid w:val="002C0DD4"/>
    <w:rsid w:val="002C0F43"/>
    <w:rsid w:val="002C10C2"/>
    <w:rsid w:val="002C10C5"/>
    <w:rsid w:val="002C10F1"/>
    <w:rsid w:val="002C152A"/>
    <w:rsid w:val="002C15C6"/>
    <w:rsid w:val="002C1748"/>
    <w:rsid w:val="002C1804"/>
    <w:rsid w:val="002C1A9C"/>
    <w:rsid w:val="002C1D5A"/>
    <w:rsid w:val="002C24CE"/>
    <w:rsid w:val="002C254B"/>
    <w:rsid w:val="002C2B38"/>
    <w:rsid w:val="002C31E7"/>
    <w:rsid w:val="002C3353"/>
    <w:rsid w:val="002C35F1"/>
    <w:rsid w:val="002C3D9E"/>
    <w:rsid w:val="002C3E99"/>
    <w:rsid w:val="002C3ECB"/>
    <w:rsid w:val="002C3F63"/>
    <w:rsid w:val="002C428C"/>
    <w:rsid w:val="002C42D2"/>
    <w:rsid w:val="002C43FE"/>
    <w:rsid w:val="002C4547"/>
    <w:rsid w:val="002C4B69"/>
    <w:rsid w:val="002C4E0E"/>
    <w:rsid w:val="002C4EA0"/>
    <w:rsid w:val="002C4F13"/>
    <w:rsid w:val="002C57AD"/>
    <w:rsid w:val="002C5DB3"/>
    <w:rsid w:val="002C615E"/>
    <w:rsid w:val="002C61CD"/>
    <w:rsid w:val="002C637C"/>
    <w:rsid w:val="002C65BA"/>
    <w:rsid w:val="002C6932"/>
    <w:rsid w:val="002C758B"/>
    <w:rsid w:val="002C7D2B"/>
    <w:rsid w:val="002C7F19"/>
    <w:rsid w:val="002C7F24"/>
    <w:rsid w:val="002D064F"/>
    <w:rsid w:val="002D0CD7"/>
    <w:rsid w:val="002D14AC"/>
    <w:rsid w:val="002D1DA9"/>
    <w:rsid w:val="002D1F65"/>
    <w:rsid w:val="002D20FD"/>
    <w:rsid w:val="002D2125"/>
    <w:rsid w:val="002D277B"/>
    <w:rsid w:val="002D2880"/>
    <w:rsid w:val="002D2FDC"/>
    <w:rsid w:val="002D44CB"/>
    <w:rsid w:val="002D4A90"/>
    <w:rsid w:val="002D4B04"/>
    <w:rsid w:val="002D5251"/>
    <w:rsid w:val="002D572E"/>
    <w:rsid w:val="002D582F"/>
    <w:rsid w:val="002D5A84"/>
    <w:rsid w:val="002D5BE3"/>
    <w:rsid w:val="002D5DC6"/>
    <w:rsid w:val="002D6249"/>
    <w:rsid w:val="002D6327"/>
    <w:rsid w:val="002D679C"/>
    <w:rsid w:val="002D6868"/>
    <w:rsid w:val="002D721D"/>
    <w:rsid w:val="002D7332"/>
    <w:rsid w:val="002D7475"/>
    <w:rsid w:val="002D7CB5"/>
    <w:rsid w:val="002D7F85"/>
    <w:rsid w:val="002E00BC"/>
    <w:rsid w:val="002E1201"/>
    <w:rsid w:val="002E2054"/>
    <w:rsid w:val="002E2198"/>
    <w:rsid w:val="002E2264"/>
    <w:rsid w:val="002E22C7"/>
    <w:rsid w:val="002E35DE"/>
    <w:rsid w:val="002E4081"/>
    <w:rsid w:val="002E47F2"/>
    <w:rsid w:val="002E5A89"/>
    <w:rsid w:val="002E7225"/>
    <w:rsid w:val="002E766F"/>
    <w:rsid w:val="002E7865"/>
    <w:rsid w:val="002E7DA9"/>
    <w:rsid w:val="002E7FA1"/>
    <w:rsid w:val="002F0037"/>
    <w:rsid w:val="002F0439"/>
    <w:rsid w:val="002F05DC"/>
    <w:rsid w:val="002F075F"/>
    <w:rsid w:val="002F0A5A"/>
    <w:rsid w:val="002F0E25"/>
    <w:rsid w:val="002F110D"/>
    <w:rsid w:val="002F1195"/>
    <w:rsid w:val="002F17CB"/>
    <w:rsid w:val="002F1F44"/>
    <w:rsid w:val="002F2153"/>
    <w:rsid w:val="002F2954"/>
    <w:rsid w:val="002F299A"/>
    <w:rsid w:val="002F30D3"/>
    <w:rsid w:val="002F36FD"/>
    <w:rsid w:val="002F3A59"/>
    <w:rsid w:val="002F3B48"/>
    <w:rsid w:val="002F3C5A"/>
    <w:rsid w:val="002F3E6D"/>
    <w:rsid w:val="002F3F9D"/>
    <w:rsid w:val="002F416A"/>
    <w:rsid w:val="002F4202"/>
    <w:rsid w:val="002F4681"/>
    <w:rsid w:val="002F487A"/>
    <w:rsid w:val="002F4AC9"/>
    <w:rsid w:val="002F4B1E"/>
    <w:rsid w:val="002F5660"/>
    <w:rsid w:val="002F5B2C"/>
    <w:rsid w:val="002F6514"/>
    <w:rsid w:val="002F67EF"/>
    <w:rsid w:val="002F6B62"/>
    <w:rsid w:val="002F6D12"/>
    <w:rsid w:val="002F6E0B"/>
    <w:rsid w:val="002F75E5"/>
    <w:rsid w:val="002F7A49"/>
    <w:rsid w:val="002F7AB7"/>
    <w:rsid w:val="002F7D45"/>
    <w:rsid w:val="002F7E64"/>
    <w:rsid w:val="00300660"/>
    <w:rsid w:val="00301520"/>
    <w:rsid w:val="00301836"/>
    <w:rsid w:val="00301E1C"/>
    <w:rsid w:val="00301E8C"/>
    <w:rsid w:val="00301F5D"/>
    <w:rsid w:val="00301FF8"/>
    <w:rsid w:val="00302642"/>
    <w:rsid w:val="00302D8B"/>
    <w:rsid w:val="00303266"/>
    <w:rsid w:val="00303370"/>
    <w:rsid w:val="00303704"/>
    <w:rsid w:val="003038AB"/>
    <w:rsid w:val="003043C7"/>
    <w:rsid w:val="00304668"/>
    <w:rsid w:val="003047B0"/>
    <w:rsid w:val="0030480A"/>
    <w:rsid w:val="0030491A"/>
    <w:rsid w:val="00304AF1"/>
    <w:rsid w:val="00304C0C"/>
    <w:rsid w:val="00305883"/>
    <w:rsid w:val="0030599F"/>
    <w:rsid w:val="00305BC5"/>
    <w:rsid w:val="00305D2E"/>
    <w:rsid w:val="00306327"/>
    <w:rsid w:val="003069E3"/>
    <w:rsid w:val="003069F4"/>
    <w:rsid w:val="00306B36"/>
    <w:rsid w:val="00306FC4"/>
    <w:rsid w:val="00307020"/>
    <w:rsid w:val="003077AE"/>
    <w:rsid w:val="00307896"/>
    <w:rsid w:val="003079D5"/>
    <w:rsid w:val="00307BE6"/>
    <w:rsid w:val="00307C96"/>
    <w:rsid w:val="0031030F"/>
    <w:rsid w:val="003112B9"/>
    <w:rsid w:val="0031142C"/>
    <w:rsid w:val="0031176E"/>
    <w:rsid w:val="003118EA"/>
    <w:rsid w:val="00311B17"/>
    <w:rsid w:val="00311BDE"/>
    <w:rsid w:val="00311DE5"/>
    <w:rsid w:val="00312076"/>
    <w:rsid w:val="00312875"/>
    <w:rsid w:val="00312AC0"/>
    <w:rsid w:val="00313775"/>
    <w:rsid w:val="00313C11"/>
    <w:rsid w:val="00313D0D"/>
    <w:rsid w:val="0031420C"/>
    <w:rsid w:val="0031451B"/>
    <w:rsid w:val="0031511C"/>
    <w:rsid w:val="003156B7"/>
    <w:rsid w:val="00315738"/>
    <w:rsid w:val="003158A2"/>
    <w:rsid w:val="003159CC"/>
    <w:rsid w:val="00315B1E"/>
    <w:rsid w:val="00315D26"/>
    <w:rsid w:val="0031646A"/>
    <w:rsid w:val="00316BA0"/>
    <w:rsid w:val="00317180"/>
    <w:rsid w:val="003177F1"/>
    <w:rsid w:val="00317FEF"/>
    <w:rsid w:val="0032012F"/>
    <w:rsid w:val="003204A3"/>
    <w:rsid w:val="00320810"/>
    <w:rsid w:val="00320BF3"/>
    <w:rsid w:val="003212FF"/>
    <w:rsid w:val="00321479"/>
    <w:rsid w:val="00321CD3"/>
    <w:rsid w:val="00321DDE"/>
    <w:rsid w:val="00321EE4"/>
    <w:rsid w:val="00322073"/>
    <w:rsid w:val="003227E9"/>
    <w:rsid w:val="00322C17"/>
    <w:rsid w:val="00322DA9"/>
    <w:rsid w:val="00322FE1"/>
    <w:rsid w:val="00323157"/>
    <w:rsid w:val="0032326A"/>
    <w:rsid w:val="003238D3"/>
    <w:rsid w:val="00323B05"/>
    <w:rsid w:val="00323BC0"/>
    <w:rsid w:val="00323C13"/>
    <w:rsid w:val="00323C8A"/>
    <w:rsid w:val="00323CD3"/>
    <w:rsid w:val="003242F4"/>
    <w:rsid w:val="003246D6"/>
    <w:rsid w:val="0032483C"/>
    <w:rsid w:val="00324E7C"/>
    <w:rsid w:val="00325186"/>
    <w:rsid w:val="003256B8"/>
    <w:rsid w:val="00325784"/>
    <w:rsid w:val="00325FE1"/>
    <w:rsid w:val="00326271"/>
    <w:rsid w:val="00326C50"/>
    <w:rsid w:val="00327534"/>
    <w:rsid w:val="003276FB"/>
    <w:rsid w:val="00327736"/>
    <w:rsid w:val="00327834"/>
    <w:rsid w:val="003279D8"/>
    <w:rsid w:val="00327A53"/>
    <w:rsid w:val="00327C53"/>
    <w:rsid w:val="00327E03"/>
    <w:rsid w:val="00330AD5"/>
    <w:rsid w:val="00330AEB"/>
    <w:rsid w:val="00330C78"/>
    <w:rsid w:val="00330E03"/>
    <w:rsid w:val="00330F8B"/>
    <w:rsid w:val="00331870"/>
    <w:rsid w:val="00331E73"/>
    <w:rsid w:val="0033256B"/>
    <w:rsid w:val="003327DB"/>
    <w:rsid w:val="00332C08"/>
    <w:rsid w:val="00333174"/>
    <w:rsid w:val="003331E1"/>
    <w:rsid w:val="0033373C"/>
    <w:rsid w:val="003340E4"/>
    <w:rsid w:val="0033447D"/>
    <w:rsid w:val="00334E44"/>
    <w:rsid w:val="00334EC1"/>
    <w:rsid w:val="003353EA"/>
    <w:rsid w:val="00335591"/>
    <w:rsid w:val="003357BF"/>
    <w:rsid w:val="00336290"/>
    <w:rsid w:val="003363BF"/>
    <w:rsid w:val="00336510"/>
    <w:rsid w:val="00336660"/>
    <w:rsid w:val="00336E8D"/>
    <w:rsid w:val="00336FBE"/>
    <w:rsid w:val="00337378"/>
    <w:rsid w:val="00337C7F"/>
    <w:rsid w:val="003401F7"/>
    <w:rsid w:val="00340299"/>
    <w:rsid w:val="00340A7C"/>
    <w:rsid w:val="0034139A"/>
    <w:rsid w:val="0034139C"/>
    <w:rsid w:val="00341488"/>
    <w:rsid w:val="0034153D"/>
    <w:rsid w:val="00341E18"/>
    <w:rsid w:val="0034223C"/>
    <w:rsid w:val="00343345"/>
    <w:rsid w:val="00343515"/>
    <w:rsid w:val="00343647"/>
    <w:rsid w:val="0034380C"/>
    <w:rsid w:val="00343C97"/>
    <w:rsid w:val="00344140"/>
    <w:rsid w:val="00344D14"/>
    <w:rsid w:val="00344F46"/>
    <w:rsid w:val="003457AB"/>
    <w:rsid w:val="00345FC9"/>
    <w:rsid w:val="003464BA"/>
    <w:rsid w:val="00346529"/>
    <w:rsid w:val="00346A97"/>
    <w:rsid w:val="00346F37"/>
    <w:rsid w:val="00347326"/>
    <w:rsid w:val="0034776E"/>
    <w:rsid w:val="003500B8"/>
    <w:rsid w:val="0035023A"/>
    <w:rsid w:val="00350439"/>
    <w:rsid w:val="003510B9"/>
    <w:rsid w:val="0035119E"/>
    <w:rsid w:val="0035192F"/>
    <w:rsid w:val="00351DEB"/>
    <w:rsid w:val="00352037"/>
    <w:rsid w:val="00352A9C"/>
    <w:rsid w:val="00352B16"/>
    <w:rsid w:val="00352D11"/>
    <w:rsid w:val="00353102"/>
    <w:rsid w:val="00353621"/>
    <w:rsid w:val="0035387F"/>
    <w:rsid w:val="00354147"/>
    <w:rsid w:val="003549AE"/>
    <w:rsid w:val="003549F6"/>
    <w:rsid w:val="00355231"/>
    <w:rsid w:val="00355627"/>
    <w:rsid w:val="00355B79"/>
    <w:rsid w:val="00355B8F"/>
    <w:rsid w:val="00355FBB"/>
    <w:rsid w:val="00356518"/>
    <w:rsid w:val="003568E0"/>
    <w:rsid w:val="00356985"/>
    <w:rsid w:val="00356D22"/>
    <w:rsid w:val="003603EC"/>
    <w:rsid w:val="0036058A"/>
    <w:rsid w:val="00360FCE"/>
    <w:rsid w:val="00361958"/>
    <w:rsid w:val="00361DBA"/>
    <w:rsid w:val="00362263"/>
    <w:rsid w:val="003622A9"/>
    <w:rsid w:val="00362F0A"/>
    <w:rsid w:val="00363128"/>
    <w:rsid w:val="00363680"/>
    <w:rsid w:val="003638E7"/>
    <w:rsid w:val="00363D7C"/>
    <w:rsid w:val="00363FB0"/>
    <w:rsid w:val="00364AD5"/>
    <w:rsid w:val="00364D99"/>
    <w:rsid w:val="0036515D"/>
    <w:rsid w:val="0036549F"/>
    <w:rsid w:val="0036553C"/>
    <w:rsid w:val="00365E98"/>
    <w:rsid w:val="0036645A"/>
    <w:rsid w:val="00366EB2"/>
    <w:rsid w:val="00367454"/>
    <w:rsid w:val="00367469"/>
    <w:rsid w:val="003677A1"/>
    <w:rsid w:val="00367D6F"/>
    <w:rsid w:val="003701AE"/>
    <w:rsid w:val="0037049B"/>
    <w:rsid w:val="00370E44"/>
    <w:rsid w:val="00370FBB"/>
    <w:rsid w:val="00371093"/>
    <w:rsid w:val="003714DD"/>
    <w:rsid w:val="00371995"/>
    <w:rsid w:val="00372550"/>
    <w:rsid w:val="00372FBC"/>
    <w:rsid w:val="003730F1"/>
    <w:rsid w:val="00373206"/>
    <w:rsid w:val="00373693"/>
    <w:rsid w:val="00373C83"/>
    <w:rsid w:val="00373CD3"/>
    <w:rsid w:val="00373E0F"/>
    <w:rsid w:val="003746CA"/>
    <w:rsid w:val="00374899"/>
    <w:rsid w:val="0037492A"/>
    <w:rsid w:val="00374EE8"/>
    <w:rsid w:val="003751E1"/>
    <w:rsid w:val="0037553C"/>
    <w:rsid w:val="0037555D"/>
    <w:rsid w:val="003756B2"/>
    <w:rsid w:val="00376519"/>
    <w:rsid w:val="003765BF"/>
    <w:rsid w:val="00376692"/>
    <w:rsid w:val="003766CB"/>
    <w:rsid w:val="003775F2"/>
    <w:rsid w:val="00377601"/>
    <w:rsid w:val="00377800"/>
    <w:rsid w:val="00377A41"/>
    <w:rsid w:val="003809F9"/>
    <w:rsid w:val="00380A18"/>
    <w:rsid w:val="00380B79"/>
    <w:rsid w:val="003810AD"/>
    <w:rsid w:val="00381190"/>
    <w:rsid w:val="003813D1"/>
    <w:rsid w:val="00381972"/>
    <w:rsid w:val="0038199B"/>
    <w:rsid w:val="00381FC2"/>
    <w:rsid w:val="00381FF1"/>
    <w:rsid w:val="003823F8"/>
    <w:rsid w:val="00382670"/>
    <w:rsid w:val="00382757"/>
    <w:rsid w:val="00383255"/>
    <w:rsid w:val="00383741"/>
    <w:rsid w:val="00384372"/>
    <w:rsid w:val="0038438C"/>
    <w:rsid w:val="00384844"/>
    <w:rsid w:val="003848DD"/>
    <w:rsid w:val="00384A39"/>
    <w:rsid w:val="00384A65"/>
    <w:rsid w:val="00384D8F"/>
    <w:rsid w:val="00385782"/>
    <w:rsid w:val="003857FA"/>
    <w:rsid w:val="00385B20"/>
    <w:rsid w:val="0038613D"/>
    <w:rsid w:val="00386682"/>
    <w:rsid w:val="00386A94"/>
    <w:rsid w:val="00386BEF"/>
    <w:rsid w:val="00387463"/>
    <w:rsid w:val="00387AD3"/>
    <w:rsid w:val="00387C99"/>
    <w:rsid w:val="00387DB9"/>
    <w:rsid w:val="003901F4"/>
    <w:rsid w:val="00390484"/>
    <w:rsid w:val="0039077D"/>
    <w:rsid w:val="00390861"/>
    <w:rsid w:val="00390BA7"/>
    <w:rsid w:val="00390F95"/>
    <w:rsid w:val="00390FD0"/>
    <w:rsid w:val="00391D2B"/>
    <w:rsid w:val="00392052"/>
    <w:rsid w:val="0039218F"/>
    <w:rsid w:val="0039240C"/>
    <w:rsid w:val="00392527"/>
    <w:rsid w:val="0039278F"/>
    <w:rsid w:val="0039287A"/>
    <w:rsid w:val="0039311E"/>
    <w:rsid w:val="00393301"/>
    <w:rsid w:val="0039368C"/>
    <w:rsid w:val="00393760"/>
    <w:rsid w:val="00393832"/>
    <w:rsid w:val="00393A2D"/>
    <w:rsid w:val="00393EE9"/>
    <w:rsid w:val="003945E3"/>
    <w:rsid w:val="00394721"/>
    <w:rsid w:val="00394A3E"/>
    <w:rsid w:val="00394F76"/>
    <w:rsid w:val="003954D1"/>
    <w:rsid w:val="00395FF3"/>
    <w:rsid w:val="00396341"/>
    <w:rsid w:val="00397069"/>
    <w:rsid w:val="0039752E"/>
    <w:rsid w:val="00397E6A"/>
    <w:rsid w:val="00397FB6"/>
    <w:rsid w:val="003A076D"/>
    <w:rsid w:val="003A079D"/>
    <w:rsid w:val="003A11FC"/>
    <w:rsid w:val="003A1263"/>
    <w:rsid w:val="003A1286"/>
    <w:rsid w:val="003A16F6"/>
    <w:rsid w:val="003A1AAF"/>
    <w:rsid w:val="003A1DD5"/>
    <w:rsid w:val="003A2820"/>
    <w:rsid w:val="003A2F09"/>
    <w:rsid w:val="003A33A5"/>
    <w:rsid w:val="003A3699"/>
    <w:rsid w:val="003A37C7"/>
    <w:rsid w:val="003A38AF"/>
    <w:rsid w:val="003A38B5"/>
    <w:rsid w:val="003A3EF4"/>
    <w:rsid w:val="003A4098"/>
    <w:rsid w:val="003A4159"/>
    <w:rsid w:val="003A42A6"/>
    <w:rsid w:val="003A43F1"/>
    <w:rsid w:val="003A47FA"/>
    <w:rsid w:val="003A48EA"/>
    <w:rsid w:val="003A4B62"/>
    <w:rsid w:val="003A4F5A"/>
    <w:rsid w:val="003A5306"/>
    <w:rsid w:val="003A5800"/>
    <w:rsid w:val="003A6380"/>
    <w:rsid w:val="003A63E7"/>
    <w:rsid w:val="003A64DA"/>
    <w:rsid w:val="003A66E1"/>
    <w:rsid w:val="003A6950"/>
    <w:rsid w:val="003A6D7D"/>
    <w:rsid w:val="003A732E"/>
    <w:rsid w:val="003A76A6"/>
    <w:rsid w:val="003A76EE"/>
    <w:rsid w:val="003A778B"/>
    <w:rsid w:val="003A7806"/>
    <w:rsid w:val="003A7976"/>
    <w:rsid w:val="003A7F21"/>
    <w:rsid w:val="003A7F8C"/>
    <w:rsid w:val="003B0961"/>
    <w:rsid w:val="003B0B2F"/>
    <w:rsid w:val="003B0D3A"/>
    <w:rsid w:val="003B1A72"/>
    <w:rsid w:val="003B1E9A"/>
    <w:rsid w:val="003B1F30"/>
    <w:rsid w:val="003B213E"/>
    <w:rsid w:val="003B2522"/>
    <w:rsid w:val="003B2625"/>
    <w:rsid w:val="003B2D15"/>
    <w:rsid w:val="003B2E2B"/>
    <w:rsid w:val="003B2E50"/>
    <w:rsid w:val="003B327F"/>
    <w:rsid w:val="003B343B"/>
    <w:rsid w:val="003B35D8"/>
    <w:rsid w:val="003B36F7"/>
    <w:rsid w:val="003B3D73"/>
    <w:rsid w:val="003B3DC1"/>
    <w:rsid w:val="003B4106"/>
    <w:rsid w:val="003B41EE"/>
    <w:rsid w:val="003B4282"/>
    <w:rsid w:val="003B456A"/>
    <w:rsid w:val="003B48D2"/>
    <w:rsid w:val="003B51FE"/>
    <w:rsid w:val="003B5CEB"/>
    <w:rsid w:val="003B6189"/>
    <w:rsid w:val="003B68BE"/>
    <w:rsid w:val="003B6C25"/>
    <w:rsid w:val="003B6C92"/>
    <w:rsid w:val="003B6EAF"/>
    <w:rsid w:val="003B7390"/>
    <w:rsid w:val="003B7506"/>
    <w:rsid w:val="003B7544"/>
    <w:rsid w:val="003B77A3"/>
    <w:rsid w:val="003B7DEB"/>
    <w:rsid w:val="003C0723"/>
    <w:rsid w:val="003C08F3"/>
    <w:rsid w:val="003C093E"/>
    <w:rsid w:val="003C0AFB"/>
    <w:rsid w:val="003C0B23"/>
    <w:rsid w:val="003C0D7D"/>
    <w:rsid w:val="003C23B7"/>
    <w:rsid w:val="003C2B53"/>
    <w:rsid w:val="003C2EDA"/>
    <w:rsid w:val="003C3179"/>
    <w:rsid w:val="003C3299"/>
    <w:rsid w:val="003C3460"/>
    <w:rsid w:val="003C38CF"/>
    <w:rsid w:val="003C4117"/>
    <w:rsid w:val="003C458C"/>
    <w:rsid w:val="003C45D0"/>
    <w:rsid w:val="003C4CBC"/>
    <w:rsid w:val="003C538F"/>
    <w:rsid w:val="003C5440"/>
    <w:rsid w:val="003C569E"/>
    <w:rsid w:val="003C7635"/>
    <w:rsid w:val="003C76A0"/>
    <w:rsid w:val="003C77D2"/>
    <w:rsid w:val="003C7B73"/>
    <w:rsid w:val="003D02BE"/>
    <w:rsid w:val="003D0859"/>
    <w:rsid w:val="003D136A"/>
    <w:rsid w:val="003D15D2"/>
    <w:rsid w:val="003D179A"/>
    <w:rsid w:val="003D207D"/>
    <w:rsid w:val="003D2225"/>
    <w:rsid w:val="003D2600"/>
    <w:rsid w:val="003D2681"/>
    <w:rsid w:val="003D270D"/>
    <w:rsid w:val="003D2AD6"/>
    <w:rsid w:val="003D33AA"/>
    <w:rsid w:val="003D4234"/>
    <w:rsid w:val="003D437E"/>
    <w:rsid w:val="003D4914"/>
    <w:rsid w:val="003D4B36"/>
    <w:rsid w:val="003D5064"/>
    <w:rsid w:val="003D5113"/>
    <w:rsid w:val="003D5816"/>
    <w:rsid w:val="003D58B4"/>
    <w:rsid w:val="003D5DA9"/>
    <w:rsid w:val="003D609E"/>
    <w:rsid w:val="003D60DC"/>
    <w:rsid w:val="003D6A5C"/>
    <w:rsid w:val="003D6BA2"/>
    <w:rsid w:val="003D6F90"/>
    <w:rsid w:val="003D741C"/>
    <w:rsid w:val="003D76B1"/>
    <w:rsid w:val="003D7975"/>
    <w:rsid w:val="003D7F1F"/>
    <w:rsid w:val="003E033B"/>
    <w:rsid w:val="003E0656"/>
    <w:rsid w:val="003E0961"/>
    <w:rsid w:val="003E09F3"/>
    <w:rsid w:val="003E158C"/>
    <w:rsid w:val="003E1A6E"/>
    <w:rsid w:val="003E24FB"/>
    <w:rsid w:val="003E2DDC"/>
    <w:rsid w:val="003E2E23"/>
    <w:rsid w:val="003E2EA1"/>
    <w:rsid w:val="003E38B6"/>
    <w:rsid w:val="003E39A2"/>
    <w:rsid w:val="003E3D9E"/>
    <w:rsid w:val="003E46D7"/>
    <w:rsid w:val="003E4BCC"/>
    <w:rsid w:val="003E4DEA"/>
    <w:rsid w:val="003E4EC5"/>
    <w:rsid w:val="003E5013"/>
    <w:rsid w:val="003E5456"/>
    <w:rsid w:val="003E5578"/>
    <w:rsid w:val="003E55AE"/>
    <w:rsid w:val="003E5B76"/>
    <w:rsid w:val="003E5C77"/>
    <w:rsid w:val="003E6609"/>
    <w:rsid w:val="003E6BB4"/>
    <w:rsid w:val="003E712E"/>
    <w:rsid w:val="003E74D5"/>
    <w:rsid w:val="003E794F"/>
    <w:rsid w:val="003E7A2E"/>
    <w:rsid w:val="003E7BD4"/>
    <w:rsid w:val="003E7CBA"/>
    <w:rsid w:val="003F0195"/>
    <w:rsid w:val="003F0336"/>
    <w:rsid w:val="003F0816"/>
    <w:rsid w:val="003F0889"/>
    <w:rsid w:val="003F0F95"/>
    <w:rsid w:val="003F167A"/>
    <w:rsid w:val="003F1EE5"/>
    <w:rsid w:val="003F20C3"/>
    <w:rsid w:val="003F20F0"/>
    <w:rsid w:val="003F2819"/>
    <w:rsid w:val="003F2F31"/>
    <w:rsid w:val="003F3185"/>
    <w:rsid w:val="003F3208"/>
    <w:rsid w:val="003F3AF6"/>
    <w:rsid w:val="003F3C80"/>
    <w:rsid w:val="003F3D8F"/>
    <w:rsid w:val="003F3E65"/>
    <w:rsid w:val="003F3E85"/>
    <w:rsid w:val="003F405A"/>
    <w:rsid w:val="003F4083"/>
    <w:rsid w:val="003F410E"/>
    <w:rsid w:val="003F41AC"/>
    <w:rsid w:val="003F432C"/>
    <w:rsid w:val="003F478A"/>
    <w:rsid w:val="003F4BE6"/>
    <w:rsid w:val="003F4C96"/>
    <w:rsid w:val="003F4EC3"/>
    <w:rsid w:val="003F4F1E"/>
    <w:rsid w:val="003F548C"/>
    <w:rsid w:val="003F5696"/>
    <w:rsid w:val="003F57DA"/>
    <w:rsid w:val="003F5971"/>
    <w:rsid w:val="003F5A9C"/>
    <w:rsid w:val="003F5B97"/>
    <w:rsid w:val="003F62E4"/>
    <w:rsid w:val="003F69D6"/>
    <w:rsid w:val="003F6E3F"/>
    <w:rsid w:val="003F6EB7"/>
    <w:rsid w:val="003F71C2"/>
    <w:rsid w:val="003F74C0"/>
    <w:rsid w:val="003F7868"/>
    <w:rsid w:val="003F7915"/>
    <w:rsid w:val="003F7B3C"/>
    <w:rsid w:val="003F7E9B"/>
    <w:rsid w:val="003F7EBB"/>
    <w:rsid w:val="00400B43"/>
    <w:rsid w:val="00400BA5"/>
    <w:rsid w:val="0040102E"/>
    <w:rsid w:val="00401DAD"/>
    <w:rsid w:val="00402AC9"/>
    <w:rsid w:val="00402F45"/>
    <w:rsid w:val="00403454"/>
    <w:rsid w:val="0040371F"/>
    <w:rsid w:val="0040372D"/>
    <w:rsid w:val="00403A4F"/>
    <w:rsid w:val="00403CBF"/>
    <w:rsid w:val="00403D39"/>
    <w:rsid w:val="00403EED"/>
    <w:rsid w:val="00403F6B"/>
    <w:rsid w:val="00404662"/>
    <w:rsid w:val="00404C20"/>
    <w:rsid w:val="00404C3D"/>
    <w:rsid w:val="00404D50"/>
    <w:rsid w:val="00405187"/>
    <w:rsid w:val="00405646"/>
    <w:rsid w:val="0040582E"/>
    <w:rsid w:val="0040655C"/>
    <w:rsid w:val="00406725"/>
    <w:rsid w:val="00406B49"/>
    <w:rsid w:val="00406C7A"/>
    <w:rsid w:val="00407453"/>
    <w:rsid w:val="00407843"/>
    <w:rsid w:val="004078BD"/>
    <w:rsid w:val="00407BB4"/>
    <w:rsid w:val="00407C9A"/>
    <w:rsid w:val="0041033D"/>
    <w:rsid w:val="004103D0"/>
    <w:rsid w:val="00410596"/>
    <w:rsid w:val="004105E1"/>
    <w:rsid w:val="004108F8"/>
    <w:rsid w:val="0041099B"/>
    <w:rsid w:val="00410ACA"/>
    <w:rsid w:val="0041130B"/>
    <w:rsid w:val="0041130E"/>
    <w:rsid w:val="004114BF"/>
    <w:rsid w:val="004118AB"/>
    <w:rsid w:val="00411DDB"/>
    <w:rsid w:val="004126AF"/>
    <w:rsid w:val="0041277C"/>
    <w:rsid w:val="00412FB8"/>
    <w:rsid w:val="004135E1"/>
    <w:rsid w:val="00413629"/>
    <w:rsid w:val="0041376E"/>
    <w:rsid w:val="0041379B"/>
    <w:rsid w:val="00413980"/>
    <w:rsid w:val="00414604"/>
    <w:rsid w:val="00414896"/>
    <w:rsid w:val="00414A4F"/>
    <w:rsid w:val="00414C18"/>
    <w:rsid w:val="00414CB1"/>
    <w:rsid w:val="00415182"/>
    <w:rsid w:val="004151C3"/>
    <w:rsid w:val="004151E9"/>
    <w:rsid w:val="004152F6"/>
    <w:rsid w:val="00415310"/>
    <w:rsid w:val="00415384"/>
    <w:rsid w:val="004153B8"/>
    <w:rsid w:val="00415A22"/>
    <w:rsid w:val="00415D4C"/>
    <w:rsid w:val="00415F9A"/>
    <w:rsid w:val="00415FF1"/>
    <w:rsid w:val="00416105"/>
    <w:rsid w:val="00416136"/>
    <w:rsid w:val="0041626A"/>
    <w:rsid w:val="004165C8"/>
    <w:rsid w:val="004166BA"/>
    <w:rsid w:val="0041683A"/>
    <w:rsid w:val="00416E28"/>
    <w:rsid w:val="0041749A"/>
    <w:rsid w:val="004179F9"/>
    <w:rsid w:val="00417C04"/>
    <w:rsid w:val="00420170"/>
    <w:rsid w:val="004201BB"/>
    <w:rsid w:val="0042054E"/>
    <w:rsid w:val="004207ED"/>
    <w:rsid w:val="00420854"/>
    <w:rsid w:val="00420C25"/>
    <w:rsid w:val="0042134F"/>
    <w:rsid w:val="004215BA"/>
    <w:rsid w:val="004217FC"/>
    <w:rsid w:val="00421992"/>
    <w:rsid w:val="00421C97"/>
    <w:rsid w:val="00421D57"/>
    <w:rsid w:val="004228F5"/>
    <w:rsid w:val="00422AEC"/>
    <w:rsid w:val="00422B4D"/>
    <w:rsid w:val="00423628"/>
    <w:rsid w:val="004236C7"/>
    <w:rsid w:val="00423B38"/>
    <w:rsid w:val="00423ECB"/>
    <w:rsid w:val="00424185"/>
    <w:rsid w:val="00424441"/>
    <w:rsid w:val="00424BF1"/>
    <w:rsid w:val="00424C33"/>
    <w:rsid w:val="00425279"/>
    <w:rsid w:val="0042547B"/>
    <w:rsid w:val="0042562B"/>
    <w:rsid w:val="00425667"/>
    <w:rsid w:val="00425732"/>
    <w:rsid w:val="004259D1"/>
    <w:rsid w:val="00425DB5"/>
    <w:rsid w:val="004260FA"/>
    <w:rsid w:val="004263EF"/>
    <w:rsid w:val="00426633"/>
    <w:rsid w:val="00426B2C"/>
    <w:rsid w:val="004274EE"/>
    <w:rsid w:val="00430764"/>
    <w:rsid w:val="00430908"/>
    <w:rsid w:val="0043100D"/>
    <w:rsid w:val="004313CA"/>
    <w:rsid w:val="00431447"/>
    <w:rsid w:val="00431658"/>
    <w:rsid w:val="0043175C"/>
    <w:rsid w:val="00431C2F"/>
    <w:rsid w:val="0043200B"/>
    <w:rsid w:val="004325FC"/>
    <w:rsid w:val="00432B8B"/>
    <w:rsid w:val="00432CF8"/>
    <w:rsid w:val="0043326F"/>
    <w:rsid w:val="004332E6"/>
    <w:rsid w:val="004336C5"/>
    <w:rsid w:val="00433968"/>
    <w:rsid w:val="004339A6"/>
    <w:rsid w:val="004340C6"/>
    <w:rsid w:val="004340CC"/>
    <w:rsid w:val="00434366"/>
    <w:rsid w:val="004348BE"/>
    <w:rsid w:val="00434E6F"/>
    <w:rsid w:val="00434F9E"/>
    <w:rsid w:val="0043514B"/>
    <w:rsid w:val="00435422"/>
    <w:rsid w:val="0043563A"/>
    <w:rsid w:val="004356D8"/>
    <w:rsid w:val="00435E35"/>
    <w:rsid w:val="00435E44"/>
    <w:rsid w:val="0043602C"/>
    <w:rsid w:val="004361AB"/>
    <w:rsid w:val="004365CF"/>
    <w:rsid w:val="004366F8"/>
    <w:rsid w:val="00436A56"/>
    <w:rsid w:val="00436ABA"/>
    <w:rsid w:val="00436CCA"/>
    <w:rsid w:val="00436F59"/>
    <w:rsid w:val="004378A9"/>
    <w:rsid w:val="00437A4D"/>
    <w:rsid w:val="00437E10"/>
    <w:rsid w:val="00437E14"/>
    <w:rsid w:val="00437E99"/>
    <w:rsid w:val="004401B9"/>
    <w:rsid w:val="004408F2"/>
    <w:rsid w:val="00440C92"/>
    <w:rsid w:val="004410E4"/>
    <w:rsid w:val="0044120B"/>
    <w:rsid w:val="00441628"/>
    <w:rsid w:val="00441862"/>
    <w:rsid w:val="00441A1C"/>
    <w:rsid w:val="004420C8"/>
    <w:rsid w:val="004422AA"/>
    <w:rsid w:val="004427A9"/>
    <w:rsid w:val="00442B59"/>
    <w:rsid w:val="00442CB9"/>
    <w:rsid w:val="00442CE8"/>
    <w:rsid w:val="00443E76"/>
    <w:rsid w:val="004440A1"/>
    <w:rsid w:val="00444EB9"/>
    <w:rsid w:val="00444EEB"/>
    <w:rsid w:val="00445179"/>
    <w:rsid w:val="00445630"/>
    <w:rsid w:val="00445D1D"/>
    <w:rsid w:val="00445D2E"/>
    <w:rsid w:val="00446A46"/>
    <w:rsid w:val="00446FA7"/>
    <w:rsid w:val="00447111"/>
    <w:rsid w:val="004471C8"/>
    <w:rsid w:val="00447AE5"/>
    <w:rsid w:val="00447FCA"/>
    <w:rsid w:val="0045052B"/>
    <w:rsid w:val="00450583"/>
    <w:rsid w:val="00450DE3"/>
    <w:rsid w:val="00450DF5"/>
    <w:rsid w:val="004510B3"/>
    <w:rsid w:val="00451BB9"/>
    <w:rsid w:val="00452295"/>
    <w:rsid w:val="004545D5"/>
    <w:rsid w:val="0045505F"/>
    <w:rsid w:val="004552CD"/>
    <w:rsid w:val="0045546E"/>
    <w:rsid w:val="00455C74"/>
    <w:rsid w:val="00455EB7"/>
    <w:rsid w:val="004561B5"/>
    <w:rsid w:val="00456262"/>
    <w:rsid w:val="0045679F"/>
    <w:rsid w:val="0045692A"/>
    <w:rsid w:val="00457430"/>
    <w:rsid w:val="0045782B"/>
    <w:rsid w:val="004601EA"/>
    <w:rsid w:val="004603F1"/>
    <w:rsid w:val="00460BFE"/>
    <w:rsid w:val="00460CA2"/>
    <w:rsid w:val="00460F0E"/>
    <w:rsid w:val="0046187A"/>
    <w:rsid w:val="00461F9C"/>
    <w:rsid w:val="004623BA"/>
    <w:rsid w:val="00462522"/>
    <w:rsid w:val="00462701"/>
    <w:rsid w:val="0046284B"/>
    <w:rsid w:val="00462CBF"/>
    <w:rsid w:val="00463491"/>
    <w:rsid w:val="00463865"/>
    <w:rsid w:val="004638EC"/>
    <w:rsid w:val="00463A8D"/>
    <w:rsid w:val="00463C27"/>
    <w:rsid w:val="00463C91"/>
    <w:rsid w:val="00463E2D"/>
    <w:rsid w:val="004643B5"/>
    <w:rsid w:val="004645F7"/>
    <w:rsid w:val="00464B44"/>
    <w:rsid w:val="00464C1E"/>
    <w:rsid w:val="00464C2F"/>
    <w:rsid w:val="00464D22"/>
    <w:rsid w:val="004650AB"/>
    <w:rsid w:val="004652C3"/>
    <w:rsid w:val="00465671"/>
    <w:rsid w:val="00465C89"/>
    <w:rsid w:val="00466551"/>
    <w:rsid w:val="0046687E"/>
    <w:rsid w:val="00466F69"/>
    <w:rsid w:val="00467AB4"/>
    <w:rsid w:val="0047017C"/>
    <w:rsid w:val="00470268"/>
    <w:rsid w:val="00470B15"/>
    <w:rsid w:val="00470EF9"/>
    <w:rsid w:val="00470FAC"/>
    <w:rsid w:val="00471AA9"/>
    <w:rsid w:val="0047209E"/>
    <w:rsid w:val="0047210C"/>
    <w:rsid w:val="00472201"/>
    <w:rsid w:val="00472258"/>
    <w:rsid w:val="004723FE"/>
    <w:rsid w:val="004725FB"/>
    <w:rsid w:val="00472B0E"/>
    <w:rsid w:val="0047336E"/>
    <w:rsid w:val="00473642"/>
    <w:rsid w:val="0047422C"/>
    <w:rsid w:val="00474308"/>
    <w:rsid w:val="004748FD"/>
    <w:rsid w:val="00474B74"/>
    <w:rsid w:val="00474CDD"/>
    <w:rsid w:val="0047521D"/>
    <w:rsid w:val="00475AD8"/>
    <w:rsid w:val="00475E4C"/>
    <w:rsid w:val="004760A1"/>
    <w:rsid w:val="00477AEA"/>
    <w:rsid w:val="00477D61"/>
    <w:rsid w:val="00480562"/>
    <w:rsid w:val="0048109C"/>
    <w:rsid w:val="00481174"/>
    <w:rsid w:val="00481711"/>
    <w:rsid w:val="004819D8"/>
    <w:rsid w:val="00482283"/>
    <w:rsid w:val="00482974"/>
    <w:rsid w:val="00483028"/>
    <w:rsid w:val="0048307D"/>
    <w:rsid w:val="004831EB"/>
    <w:rsid w:val="0048387A"/>
    <w:rsid w:val="00483933"/>
    <w:rsid w:val="004840D6"/>
    <w:rsid w:val="004848DC"/>
    <w:rsid w:val="0048506F"/>
    <w:rsid w:val="004850C0"/>
    <w:rsid w:val="0048568C"/>
    <w:rsid w:val="00485DBF"/>
    <w:rsid w:val="00485DE2"/>
    <w:rsid w:val="004867FD"/>
    <w:rsid w:val="00486872"/>
    <w:rsid w:val="00487442"/>
    <w:rsid w:val="00487446"/>
    <w:rsid w:val="004877AB"/>
    <w:rsid w:val="00487B2C"/>
    <w:rsid w:val="00487BE4"/>
    <w:rsid w:val="00490299"/>
    <w:rsid w:val="00490436"/>
    <w:rsid w:val="00491ADF"/>
    <w:rsid w:val="00491CF6"/>
    <w:rsid w:val="00492343"/>
    <w:rsid w:val="0049244F"/>
    <w:rsid w:val="0049248E"/>
    <w:rsid w:val="00492839"/>
    <w:rsid w:val="00492BC2"/>
    <w:rsid w:val="00492BDA"/>
    <w:rsid w:val="00493142"/>
    <w:rsid w:val="00493422"/>
    <w:rsid w:val="004936FA"/>
    <w:rsid w:val="004938F8"/>
    <w:rsid w:val="00493D51"/>
    <w:rsid w:val="00493F37"/>
    <w:rsid w:val="00494430"/>
    <w:rsid w:val="00494653"/>
    <w:rsid w:val="00495A66"/>
    <w:rsid w:val="00495AB5"/>
    <w:rsid w:val="004963AC"/>
    <w:rsid w:val="004963B6"/>
    <w:rsid w:val="0049643B"/>
    <w:rsid w:val="00496445"/>
    <w:rsid w:val="00496977"/>
    <w:rsid w:val="00496C9F"/>
    <w:rsid w:val="004970A9"/>
    <w:rsid w:val="00497410"/>
    <w:rsid w:val="00497515"/>
    <w:rsid w:val="004976AA"/>
    <w:rsid w:val="004976DE"/>
    <w:rsid w:val="004976EE"/>
    <w:rsid w:val="00497C50"/>
    <w:rsid w:val="00497F53"/>
    <w:rsid w:val="004A039F"/>
    <w:rsid w:val="004A0867"/>
    <w:rsid w:val="004A0B83"/>
    <w:rsid w:val="004A136E"/>
    <w:rsid w:val="004A14A1"/>
    <w:rsid w:val="004A1E1B"/>
    <w:rsid w:val="004A2008"/>
    <w:rsid w:val="004A21E7"/>
    <w:rsid w:val="004A223C"/>
    <w:rsid w:val="004A28F8"/>
    <w:rsid w:val="004A2A21"/>
    <w:rsid w:val="004A2ABE"/>
    <w:rsid w:val="004A2CCA"/>
    <w:rsid w:val="004A2ED2"/>
    <w:rsid w:val="004A32C9"/>
    <w:rsid w:val="004A335B"/>
    <w:rsid w:val="004A3411"/>
    <w:rsid w:val="004A3B92"/>
    <w:rsid w:val="004A3FE4"/>
    <w:rsid w:val="004A437C"/>
    <w:rsid w:val="004A4589"/>
    <w:rsid w:val="004A4C4B"/>
    <w:rsid w:val="004A5081"/>
    <w:rsid w:val="004A53CA"/>
    <w:rsid w:val="004A5742"/>
    <w:rsid w:val="004A576F"/>
    <w:rsid w:val="004A5EA7"/>
    <w:rsid w:val="004A645C"/>
    <w:rsid w:val="004A6473"/>
    <w:rsid w:val="004A6879"/>
    <w:rsid w:val="004A6E60"/>
    <w:rsid w:val="004A6EB2"/>
    <w:rsid w:val="004A73CC"/>
    <w:rsid w:val="004A7450"/>
    <w:rsid w:val="004A74E6"/>
    <w:rsid w:val="004A75AA"/>
    <w:rsid w:val="004A7C13"/>
    <w:rsid w:val="004A7DC3"/>
    <w:rsid w:val="004B0353"/>
    <w:rsid w:val="004B087E"/>
    <w:rsid w:val="004B0E1C"/>
    <w:rsid w:val="004B1D28"/>
    <w:rsid w:val="004B219D"/>
    <w:rsid w:val="004B21F8"/>
    <w:rsid w:val="004B23DE"/>
    <w:rsid w:val="004B23DF"/>
    <w:rsid w:val="004B279A"/>
    <w:rsid w:val="004B2C92"/>
    <w:rsid w:val="004B353A"/>
    <w:rsid w:val="004B3C52"/>
    <w:rsid w:val="004B405C"/>
    <w:rsid w:val="004B432B"/>
    <w:rsid w:val="004B4460"/>
    <w:rsid w:val="004B45BA"/>
    <w:rsid w:val="004B4CFB"/>
    <w:rsid w:val="004B5C9A"/>
    <w:rsid w:val="004B6A37"/>
    <w:rsid w:val="004B6FFC"/>
    <w:rsid w:val="004B7D24"/>
    <w:rsid w:val="004B7F3F"/>
    <w:rsid w:val="004C0066"/>
    <w:rsid w:val="004C0391"/>
    <w:rsid w:val="004C0469"/>
    <w:rsid w:val="004C06FF"/>
    <w:rsid w:val="004C07B2"/>
    <w:rsid w:val="004C0958"/>
    <w:rsid w:val="004C161E"/>
    <w:rsid w:val="004C163E"/>
    <w:rsid w:val="004C1A3B"/>
    <w:rsid w:val="004C1FCF"/>
    <w:rsid w:val="004C2095"/>
    <w:rsid w:val="004C2758"/>
    <w:rsid w:val="004C2997"/>
    <w:rsid w:val="004C2F3E"/>
    <w:rsid w:val="004C3FA9"/>
    <w:rsid w:val="004C3FD0"/>
    <w:rsid w:val="004C4665"/>
    <w:rsid w:val="004C4953"/>
    <w:rsid w:val="004C49F6"/>
    <w:rsid w:val="004C4AB3"/>
    <w:rsid w:val="004C4D97"/>
    <w:rsid w:val="004C4DFD"/>
    <w:rsid w:val="004C4EF9"/>
    <w:rsid w:val="004C53E0"/>
    <w:rsid w:val="004C546A"/>
    <w:rsid w:val="004C564B"/>
    <w:rsid w:val="004C5BAA"/>
    <w:rsid w:val="004C647B"/>
    <w:rsid w:val="004C64A5"/>
    <w:rsid w:val="004C68F8"/>
    <w:rsid w:val="004C6B88"/>
    <w:rsid w:val="004C6D75"/>
    <w:rsid w:val="004C6FEC"/>
    <w:rsid w:val="004C70F6"/>
    <w:rsid w:val="004C7525"/>
    <w:rsid w:val="004C756D"/>
    <w:rsid w:val="004C7761"/>
    <w:rsid w:val="004C7DD0"/>
    <w:rsid w:val="004D047C"/>
    <w:rsid w:val="004D05AA"/>
    <w:rsid w:val="004D0A1B"/>
    <w:rsid w:val="004D1277"/>
    <w:rsid w:val="004D1DE5"/>
    <w:rsid w:val="004D1E3D"/>
    <w:rsid w:val="004D1E4C"/>
    <w:rsid w:val="004D253B"/>
    <w:rsid w:val="004D2D8C"/>
    <w:rsid w:val="004D2E39"/>
    <w:rsid w:val="004D399D"/>
    <w:rsid w:val="004D39C7"/>
    <w:rsid w:val="004D3F57"/>
    <w:rsid w:val="004D4135"/>
    <w:rsid w:val="004D4231"/>
    <w:rsid w:val="004D436C"/>
    <w:rsid w:val="004D4E96"/>
    <w:rsid w:val="004D5300"/>
    <w:rsid w:val="004D5F44"/>
    <w:rsid w:val="004D67CC"/>
    <w:rsid w:val="004D6816"/>
    <w:rsid w:val="004D6B5C"/>
    <w:rsid w:val="004D6CA8"/>
    <w:rsid w:val="004D6F50"/>
    <w:rsid w:val="004D7519"/>
    <w:rsid w:val="004D7E09"/>
    <w:rsid w:val="004D7FA1"/>
    <w:rsid w:val="004E000E"/>
    <w:rsid w:val="004E05C5"/>
    <w:rsid w:val="004E0F79"/>
    <w:rsid w:val="004E1155"/>
    <w:rsid w:val="004E134C"/>
    <w:rsid w:val="004E1762"/>
    <w:rsid w:val="004E1D59"/>
    <w:rsid w:val="004E24E3"/>
    <w:rsid w:val="004E290B"/>
    <w:rsid w:val="004E2F1D"/>
    <w:rsid w:val="004E2FB1"/>
    <w:rsid w:val="004E2FD3"/>
    <w:rsid w:val="004E3374"/>
    <w:rsid w:val="004E3448"/>
    <w:rsid w:val="004E3ACD"/>
    <w:rsid w:val="004E3C9A"/>
    <w:rsid w:val="004E4637"/>
    <w:rsid w:val="004E4B46"/>
    <w:rsid w:val="004E4E10"/>
    <w:rsid w:val="004E5033"/>
    <w:rsid w:val="004E5720"/>
    <w:rsid w:val="004E577C"/>
    <w:rsid w:val="004E57EA"/>
    <w:rsid w:val="004E5E27"/>
    <w:rsid w:val="004E60D4"/>
    <w:rsid w:val="004E622C"/>
    <w:rsid w:val="004E6230"/>
    <w:rsid w:val="004E66D7"/>
    <w:rsid w:val="004E6FB1"/>
    <w:rsid w:val="004E70FB"/>
    <w:rsid w:val="004E741F"/>
    <w:rsid w:val="004E7A10"/>
    <w:rsid w:val="004F0A29"/>
    <w:rsid w:val="004F0F8B"/>
    <w:rsid w:val="004F14EF"/>
    <w:rsid w:val="004F1601"/>
    <w:rsid w:val="004F1A3F"/>
    <w:rsid w:val="004F1A56"/>
    <w:rsid w:val="004F1DFC"/>
    <w:rsid w:val="004F1E08"/>
    <w:rsid w:val="004F24CD"/>
    <w:rsid w:val="004F2B18"/>
    <w:rsid w:val="004F2E78"/>
    <w:rsid w:val="004F3790"/>
    <w:rsid w:val="004F3DF2"/>
    <w:rsid w:val="004F407B"/>
    <w:rsid w:val="004F4187"/>
    <w:rsid w:val="004F4986"/>
    <w:rsid w:val="004F53A2"/>
    <w:rsid w:val="004F590E"/>
    <w:rsid w:val="004F5AFE"/>
    <w:rsid w:val="004F5E00"/>
    <w:rsid w:val="004F608A"/>
    <w:rsid w:val="004F60A7"/>
    <w:rsid w:val="004F621C"/>
    <w:rsid w:val="004F6F82"/>
    <w:rsid w:val="004F7252"/>
    <w:rsid w:val="004F77D4"/>
    <w:rsid w:val="004F7920"/>
    <w:rsid w:val="004F7FAB"/>
    <w:rsid w:val="0050004E"/>
    <w:rsid w:val="005007BF"/>
    <w:rsid w:val="0050098D"/>
    <w:rsid w:val="00501090"/>
    <w:rsid w:val="00501281"/>
    <w:rsid w:val="00501612"/>
    <w:rsid w:val="0050178B"/>
    <w:rsid w:val="00501A7B"/>
    <w:rsid w:val="00501BA0"/>
    <w:rsid w:val="00501C27"/>
    <w:rsid w:val="00501C2E"/>
    <w:rsid w:val="00501D3B"/>
    <w:rsid w:val="00502746"/>
    <w:rsid w:val="005027B4"/>
    <w:rsid w:val="00502CF8"/>
    <w:rsid w:val="0050370A"/>
    <w:rsid w:val="005039B3"/>
    <w:rsid w:val="00504296"/>
    <w:rsid w:val="00504AB2"/>
    <w:rsid w:val="00504E60"/>
    <w:rsid w:val="00505199"/>
    <w:rsid w:val="00505392"/>
    <w:rsid w:val="0050572B"/>
    <w:rsid w:val="00506088"/>
    <w:rsid w:val="005061A7"/>
    <w:rsid w:val="0050623A"/>
    <w:rsid w:val="00506304"/>
    <w:rsid w:val="00506449"/>
    <w:rsid w:val="00506684"/>
    <w:rsid w:val="005067BE"/>
    <w:rsid w:val="00506983"/>
    <w:rsid w:val="005069CC"/>
    <w:rsid w:val="00506D5E"/>
    <w:rsid w:val="00506D75"/>
    <w:rsid w:val="005073CE"/>
    <w:rsid w:val="005075F2"/>
    <w:rsid w:val="005078A7"/>
    <w:rsid w:val="00507E8D"/>
    <w:rsid w:val="0051074D"/>
    <w:rsid w:val="005107FA"/>
    <w:rsid w:val="00510F97"/>
    <w:rsid w:val="00510FED"/>
    <w:rsid w:val="0051116F"/>
    <w:rsid w:val="0051174B"/>
    <w:rsid w:val="00511CDE"/>
    <w:rsid w:val="00511D2B"/>
    <w:rsid w:val="005128FE"/>
    <w:rsid w:val="00512BDE"/>
    <w:rsid w:val="00513089"/>
    <w:rsid w:val="00513167"/>
    <w:rsid w:val="00513486"/>
    <w:rsid w:val="00513DF9"/>
    <w:rsid w:val="00513FFC"/>
    <w:rsid w:val="0051402F"/>
    <w:rsid w:val="005141D7"/>
    <w:rsid w:val="005144A7"/>
    <w:rsid w:val="0051468F"/>
    <w:rsid w:val="00514C31"/>
    <w:rsid w:val="00515551"/>
    <w:rsid w:val="0051623A"/>
    <w:rsid w:val="00516278"/>
    <w:rsid w:val="00516403"/>
    <w:rsid w:val="005167D0"/>
    <w:rsid w:val="00516BEE"/>
    <w:rsid w:val="00516FF2"/>
    <w:rsid w:val="00517572"/>
    <w:rsid w:val="0051796D"/>
    <w:rsid w:val="00517DEE"/>
    <w:rsid w:val="00520594"/>
    <w:rsid w:val="005206B8"/>
    <w:rsid w:val="00520B2A"/>
    <w:rsid w:val="00520E6A"/>
    <w:rsid w:val="0052160E"/>
    <w:rsid w:val="005216D9"/>
    <w:rsid w:val="005217D1"/>
    <w:rsid w:val="00521979"/>
    <w:rsid w:val="00521AC9"/>
    <w:rsid w:val="005224FD"/>
    <w:rsid w:val="0052271F"/>
    <w:rsid w:val="005227CD"/>
    <w:rsid w:val="00523980"/>
    <w:rsid w:val="00523995"/>
    <w:rsid w:val="0052448B"/>
    <w:rsid w:val="0052481F"/>
    <w:rsid w:val="00524898"/>
    <w:rsid w:val="00524D4B"/>
    <w:rsid w:val="005253A9"/>
    <w:rsid w:val="00525603"/>
    <w:rsid w:val="00525755"/>
    <w:rsid w:val="00525AA0"/>
    <w:rsid w:val="00526332"/>
    <w:rsid w:val="0052663E"/>
    <w:rsid w:val="005266A6"/>
    <w:rsid w:val="00526D5A"/>
    <w:rsid w:val="00526E74"/>
    <w:rsid w:val="0052701B"/>
    <w:rsid w:val="00527102"/>
    <w:rsid w:val="005272BE"/>
    <w:rsid w:val="00527604"/>
    <w:rsid w:val="00527644"/>
    <w:rsid w:val="0052787C"/>
    <w:rsid w:val="00527FEF"/>
    <w:rsid w:val="00530EDF"/>
    <w:rsid w:val="00531333"/>
    <w:rsid w:val="005317A1"/>
    <w:rsid w:val="00531B85"/>
    <w:rsid w:val="0053273A"/>
    <w:rsid w:val="00532BB5"/>
    <w:rsid w:val="00532EF9"/>
    <w:rsid w:val="005336A4"/>
    <w:rsid w:val="005338D4"/>
    <w:rsid w:val="00533A74"/>
    <w:rsid w:val="00534346"/>
    <w:rsid w:val="0053448E"/>
    <w:rsid w:val="00534849"/>
    <w:rsid w:val="00534DDD"/>
    <w:rsid w:val="00535C09"/>
    <w:rsid w:val="00535F5C"/>
    <w:rsid w:val="0053602B"/>
    <w:rsid w:val="00536232"/>
    <w:rsid w:val="00536259"/>
    <w:rsid w:val="00536828"/>
    <w:rsid w:val="00537179"/>
    <w:rsid w:val="005371E9"/>
    <w:rsid w:val="0053729C"/>
    <w:rsid w:val="00537460"/>
    <w:rsid w:val="005403AF"/>
    <w:rsid w:val="0054044F"/>
    <w:rsid w:val="005407DF"/>
    <w:rsid w:val="00540C53"/>
    <w:rsid w:val="00541022"/>
    <w:rsid w:val="005410F2"/>
    <w:rsid w:val="00541442"/>
    <w:rsid w:val="005414F1"/>
    <w:rsid w:val="00541C49"/>
    <w:rsid w:val="00542028"/>
    <w:rsid w:val="005421C5"/>
    <w:rsid w:val="0054246B"/>
    <w:rsid w:val="0054286D"/>
    <w:rsid w:val="00543031"/>
    <w:rsid w:val="00543AB6"/>
    <w:rsid w:val="00543E5C"/>
    <w:rsid w:val="00543FA7"/>
    <w:rsid w:val="005444BC"/>
    <w:rsid w:val="0054495C"/>
    <w:rsid w:val="005449C0"/>
    <w:rsid w:val="00544A99"/>
    <w:rsid w:val="00544D27"/>
    <w:rsid w:val="00544D3D"/>
    <w:rsid w:val="00544E06"/>
    <w:rsid w:val="00544F3C"/>
    <w:rsid w:val="005452A3"/>
    <w:rsid w:val="0054548F"/>
    <w:rsid w:val="005454ED"/>
    <w:rsid w:val="005456A8"/>
    <w:rsid w:val="00545981"/>
    <w:rsid w:val="0054603B"/>
    <w:rsid w:val="00546B1D"/>
    <w:rsid w:val="00547760"/>
    <w:rsid w:val="005479B2"/>
    <w:rsid w:val="005505EA"/>
    <w:rsid w:val="00550DAE"/>
    <w:rsid w:val="005518FD"/>
    <w:rsid w:val="00551A04"/>
    <w:rsid w:val="00551B6D"/>
    <w:rsid w:val="00552106"/>
    <w:rsid w:val="005523A3"/>
    <w:rsid w:val="005526DA"/>
    <w:rsid w:val="0055280E"/>
    <w:rsid w:val="0055298D"/>
    <w:rsid w:val="00552DE0"/>
    <w:rsid w:val="00553405"/>
    <w:rsid w:val="005537E2"/>
    <w:rsid w:val="005539EA"/>
    <w:rsid w:val="00553F91"/>
    <w:rsid w:val="00554870"/>
    <w:rsid w:val="005548EB"/>
    <w:rsid w:val="00554F03"/>
    <w:rsid w:val="00555D57"/>
    <w:rsid w:val="0055606E"/>
    <w:rsid w:val="0055658F"/>
    <w:rsid w:val="00556651"/>
    <w:rsid w:val="00556684"/>
    <w:rsid w:val="005566CB"/>
    <w:rsid w:val="00556ECE"/>
    <w:rsid w:val="00557204"/>
    <w:rsid w:val="005576E2"/>
    <w:rsid w:val="0055786B"/>
    <w:rsid w:val="00557A0C"/>
    <w:rsid w:val="00557BCE"/>
    <w:rsid w:val="00560356"/>
    <w:rsid w:val="0056048D"/>
    <w:rsid w:val="00561346"/>
    <w:rsid w:val="0056140A"/>
    <w:rsid w:val="005618F9"/>
    <w:rsid w:val="0056197B"/>
    <w:rsid w:val="00561E91"/>
    <w:rsid w:val="005623FB"/>
    <w:rsid w:val="00562ABD"/>
    <w:rsid w:val="00563B6C"/>
    <w:rsid w:val="00564406"/>
    <w:rsid w:val="0056440C"/>
    <w:rsid w:val="00564492"/>
    <w:rsid w:val="00564977"/>
    <w:rsid w:val="00564B30"/>
    <w:rsid w:val="00564DE6"/>
    <w:rsid w:val="005657CF"/>
    <w:rsid w:val="00565EA6"/>
    <w:rsid w:val="005669BC"/>
    <w:rsid w:val="00566B7A"/>
    <w:rsid w:val="00566C10"/>
    <w:rsid w:val="00566C1B"/>
    <w:rsid w:val="00566E9C"/>
    <w:rsid w:val="00566EC3"/>
    <w:rsid w:val="00567055"/>
    <w:rsid w:val="0056720D"/>
    <w:rsid w:val="00570085"/>
    <w:rsid w:val="005700EE"/>
    <w:rsid w:val="0057037B"/>
    <w:rsid w:val="005706F1"/>
    <w:rsid w:val="00570908"/>
    <w:rsid w:val="00570BA5"/>
    <w:rsid w:val="00570C0A"/>
    <w:rsid w:val="00570D48"/>
    <w:rsid w:val="00570F80"/>
    <w:rsid w:val="00571091"/>
    <w:rsid w:val="00571419"/>
    <w:rsid w:val="005718B9"/>
    <w:rsid w:val="00571918"/>
    <w:rsid w:val="00571D71"/>
    <w:rsid w:val="00571EEC"/>
    <w:rsid w:val="005722E9"/>
    <w:rsid w:val="0057232F"/>
    <w:rsid w:val="00572A65"/>
    <w:rsid w:val="00572BBD"/>
    <w:rsid w:val="00572CA7"/>
    <w:rsid w:val="00572E61"/>
    <w:rsid w:val="0057309F"/>
    <w:rsid w:val="00573229"/>
    <w:rsid w:val="005733C0"/>
    <w:rsid w:val="0057347D"/>
    <w:rsid w:val="00573619"/>
    <w:rsid w:val="00573673"/>
    <w:rsid w:val="00573763"/>
    <w:rsid w:val="00573A42"/>
    <w:rsid w:val="00573AAD"/>
    <w:rsid w:val="00573E8C"/>
    <w:rsid w:val="00574D11"/>
    <w:rsid w:val="0057547A"/>
    <w:rsid w:val="00576357"/>
    <w:rsid w:val="00576759"/>
    <w:rsid w:val="005768B1"/>
    <w:rsid w:val="00576CEF"/>
    <w:rsid w:val="00576EED"/>
    <w:rsid w:val="00576F50"/>
    <w:rsid w:val="00577376"/>
    <w:rsid w:val="00577531"/>
    <w:rsid w:val="00577928"/>
    <w:rsid w:val="00577AA2"/>
    <w:rsid w:val="00577F91"/>
    <w:rsid w:val="00580A80"/>
    <w:rsid w:val="00580EF0"/>
    <w:rsid w:val="005812EA"/>
    <w:rsid w:val="005817C5"/>
    <w:rsid w:val="005819B5"/>
    <w:rsid w:val="00581D79"/>
    <w:rsid w:val="00581D87"/>
    <w:rsid w:val="005823F3"/>
    <w:rsid w:val="005827DD"/>
    <w:rsid w:val="00582935"/>
    <w:rsid w:val="0058298F"/>
    <w:rsid w:val="00582B32"/>
    <w:rsid w:val="0058329D"/>
    <w:rsid w:val="0058343C"/>
    <w:rsid w:val="0058374B"/>
    <w:rsid w:val="00583858"/>
    <w:rsid w:val="005838C2"/>
    <w:rsid w:val="00583D4E"/>
    <w:rsid w:val="005842A5"/>
    <w:rsid w:val="00584375"/>
    <w:rsid w:val="00584454"/>
    <w:rsid w:val="00584B34"/>
    <w:rsid w:val="00584C31"/>
    <w:rsid w:val="00585516"/>
    <w:rsid w:val="0058560E"/>
    <w:rsid w:val="005857AC"/>
    <w:rsid w:val="00585B2E"/>
    <w:rsid w:val="00585C7D"/>
    <w:rsid w:val="00585C86"/>
    <w:rsid w:val="00585F40"/>
    <w:rsid w:val="00586046"/>
    <w:rsid w:val="00586185"/>
    <w:rsid w:val="005861E3"/>
    <w:rsid w:val="005864A5"/>
    <w:rsid w:val="00586599"/>
    <w:rsid w:val="005865B5"/>
    <w:rsid w:val="0058663B"/>
    <w:rsid w:val="00586B9E"/>
    <w:rsid w:val="00587A02"/>
    <w:rsid w:val="005905C7"/>
    <w:rsid w:val="00590AF2"/>
    <w:rsid w:val="00591389"/>
    <w:rsid w:val="00591496"/>
    <w:rsid w:val="00591543"/>
    <w:rsid w:val="00591567"/>
    <w:rsid w:val="005915EA"/>
    <w:rsid w:val="005917DA"/>
    <w:rsid w:val="00591999"/>
    <w:rsid w:val="00591E48"/>
    <w:rsid w:val="00591E4F"/>
    <w:rsid w:val="00592BA3"/>
    <w:rsid w:val="005936B7"/>
    <w:rsid w:val="005943E6"/>
    <w:rsid w:val="00594519"/>
    <w:rsid w:val="0059456C"/>
    <w:rsid w:val="0059492C"/>
    <w:rsid w:val="00594D67"/>
    <w:rsid w:val="00594E8A"/>
    <w:rsid w:val="00595710"/>
    <w:rsid w:val="00595875"/>
    <w:rsid w:val="0059597D"/>
    <w:rsid w:val="00595BC9"/>
    <w:rsid w:val="00595EA3"/>
    <w:rsid w:val="00596223"/>
    <w:rsid w:val="0059648C"/>
    <w:rsid w:val="0059698E"/>
    <w:rsid w:val="00596A20"/>
    <w:rsid w:val="00596D9E"/>
    <w:rsid w:val="00596ED5"/>
    <w:rsid w:val="005972C9"/>
    <w:rsid w:val="005972F0"/>
    <w:rsid w:val="00597BBD"/>
    <w:rsid w:val="00597C78"/>
    <w:rsid w:val="00597F8A"/>
    <w:rsid w:val="005A003F"/>
    <w:rsid w:val="005A022F"/>
    <w:rsid w:val="005A061F"/>
    <w:rsid w:val="005A0988"/>
    <w:rsid w:val="005A0AFE"/>
    <w:rsid w:val="005A0CD6"/>
    <w:rsid w:val="005A14A6"/>
    <w:rsid w:val="005A179A"/>
    <w:rsid w:val="005A20A9"/>
    <w:rsid w:val="005A252F"/>
    <w:rsid w:val="005A267E"/>
    <w:rsid w:val="005A2826"/>
    <w:rsid w:val="005A2ADD"/>
    <w:rsid w:val="005A2C8E"/>
    <w:rsid w:val="005A2E30"/>
    <w:rsid w:val="005A2F45"/>
    <w:rsid w:val="005A33CE"/>
    <w:rsid w:val="005A3480"/>
    <w:rsid w:val="005A3AAD"/>
    <w:rsid w:val="005A3C34"/>
    <w:rsid w:val="005A3C85"/>
    <w:rsid w:val="005A3CEA"/>
    <w:rsid w:val="005A3D68"/>
    <w:rsid w:val="005A5187"/>
    <w:rsid w:val="005A54F9"/>
    <w:rsid w:val="005A58B4"/>
    <w:rsid w:val="005A68DD"/>
    <w:rsid w:val="005A7089"/>
    <w:rsid w:val="005A7365"/>
    <w:rsid w:val="005A741D"/>
    <w:rsid w:val="005A7630"/>
    <w:rsid w:val="005B06FC"/>
    <w:rsid w:val="005B0ABD"/>
    <w:rsid w:val="005B0FA6"/>
    <w:rsid w:val="005B126F"/>
    <w:rsid w:val="005B12DB"/>
    <w:rsid w:val="005B19AD"/>
    <w:rsid w:val="005B1D8E"/>
    <w:rsid w:val="005B1F7B"/>
    <w:rsid w:val="005B24D5"/>
    <w:rsid w:val="005B2A0D"/>
    <w:rsid w:val="005B2C32"/>
    <w:rsid w:val="005B309F"/>
    <w:rsid w:val="005B31AC"/>
    <w:rsid w:val="005B36C9"/>
    <w:rsid w:val="005B382B"/>
    <w:rsid w:val="005B4AED"/>
    <w:rsid w:val="005B5306"/>
    <w:rsid w:val="005B570E"/>
    <w:rsid w:val="005B597C"/>
    <w:rsid w:val="005B5CED"/>
    <w:rsid w:val="005B5ECC"/>
    <w:rsid w:val="005B6002"/>
    <w:rsid w:val="005B61F4"/>
    <w:rsid w:val="005B6633"/>
    <w:rsid w:val="005B6921"/>
    <w:rsid w:val="005B6EE4"/>
    <w:rsid w:val="005B6FDE"/>
    <w:rsid w:val="005B7078"/>
    <w:rsid w:val="005B7686"/>
    <w:rsid w:val="005B787E"/>
    <w:rsid w:val="005C032E"/>
    <w:rsid w:val="005C0543"/>
    <w:rsid w:val="005C08D9"/>
    <w:rsid w:val="005C0E02"/>
    <w:rsid w:val="005C1A88"/>
    <w:rsid w:val="005C1D24"/>
    <w:rsid w:val="005C1EBA"/>
    <w:rsid w:val="005C216D"/>
    <w:rsid w:val="005C228C"/>
    <w:rsid w:val="005C23DB"/>
    <w:rsid w:val="005C2683"/>
    <w:rsid w:val="005C298F"/>
    <w:rsid w:val="005C30F7"/>
    <w:rsid w:val="005C3183"/>
    <w:rsid w:val="005C3201"/>
    <w:rsid w:val="005C3C02"/>
    <w:rsid w:val="005C404B"/>
    <w:rsid w:val="005C446B"/>
    <w:rsid w:val="005C4524"/>
    <w:rsid w:val="005C4986"/>
    <w:rsid w:val="005C4D4B"/>
    <w:rsid w:val="005C4E92"/>
    <w:rsid w:val="005C4EFF"/>
    <w:rsid w:val="005C5435"/>
    <w:rsid w:val="005C5709"/>
    <w:rsid w:val="005C5899"/>
    <w:rsid w:val="005C5E62"/>
    <w:rsid w:val="005C60CF"/>
    <w:rsid w:val="005C6F9A"/>
    <w:rsid w:val="005C7AC0"/>
    <w:rsid w:val="005C7B69"/>
    <w:rsid w:val="005C7CA2"/>
    <w:rsid w:val="005C7E29"/>
    <w:rsid w:val="005D0110"/>
    <w:rsid w:val="005D0200"/>
    <w:rsid w:val="005D07EB"/>
    <w:rsid w:val="005D08FC"/>
    <w:rsid w:val="005D10C7"/>
    <w:rsid w:val="005D1186"/>
    <w:rsid w:val="005D1E02"/>
    <w:rsid w:val="005D2055"/>
    <w:rsid w:val="005D2526"/>
    <w:rsid w:val="005D254A"/>
    <w:rsid w:val="005D262B"/>
    <w:rsid w:val="005D26F2"/>
    <w:rsid w:val="005D2987"/>
    <w:rsid w:val="005D2997"/>
    <w:rsid w:val="005D2A9D"/>
    <w:rsid w:val="005D2BC8"/>
    <w:rsid w:val="005D2F11"/>
    <w:rsid w:val="005D3333"/>
    <w:rsid w:val="005D3638"/>
    <w:rsid w:val="005D3A3A"/>
    <w:rsid w:val="005D3B72"/>
    <w:rsid w:val="005D46D4"/>
    <w:rsid w:val="005D47A0"/>
    <w:rsid w:val="005D4DFD"/>
    <w:rsid w:val="005D4ECF"/>
    <w:rsid w:val="005D54FF"/>
    <w:rsid w:val="005D55F9"/>
    <w:rsid w:val="005D624F"/>
    <w:rsid w:val="005D6C58"/>
    <w:rsid w:val="005D6CC3"/>
    <w:rsid w:val="005D6DFE"/>
    <w:rsid w:val="005D72EF"/>
    <w:rsid w:val="005D7D59"/>
    <w:rsid w:val="005D7F05"/>
    <w:rsid w:val="005D7F67"/>
    <w:rsid w:val="005E0B54"/>
    <w:rsid w:val="005E0C1A"/>
    <w:rsid w:val="005E17A3"/>
    <w:rsid w:val="005E21AC"/>
    <w:rsid w:val="005E2231"/>
    <w:rsid w:val="005E2ABE"/>
    <w:rsid w:val="005E2B62"/>
    <w:rsid w:val="005E3402"/>
    <w:rsid w:val="005E3ADA"/>
    <w:rsid w:val="005E402B"/>
    <w:rsid w:val="005E4740"/>
    <w:rsid w:val="005E51AB"/>
    <w:rsid w:val="005E5596"/>
    <w:rsid w:val="005E55C4"/>
    <w:rsid w:val="005E5BB7"/>
    <w:rsid w:val="005E5C55"/>
    <w:rsid w:val="005E6595"/>
    <w:rsid w:val="005E6A04"/>
    <w:rsid w:val="005E6E35"/>
    <w:rsid w:val="005E6FD8"/>
    <w:rsid w:val="005E7160"/>
    <w:rsid w:val="005E7D32"/>
    <w:rsid w:val="005F00E8"/>
    <w:rsid w:val="005F06E0"/>
    <w:rsid w:val="005F0A6B"/>
    <w:rsid w:val="005F1A3C"/>
    <w:rsid w:val="005F1CE1"/>
    <w:rsid w:val="005F1D19"/>
    <w:rsid w:val="005F1F1A"/>
    <w:rsid w:val="005F2101"/>
    <w:rsid w:val="005F2851"/>
    <w:rsid w:val="005F2AD0"/>
    <w:rsid w:val="005F2BA2"/>
    <w:rsid w:val="005F2D46"/>
    <w:rsid w:val="005F2EB3"/>
    <w:rsid w:val="005F3045"/>
    <w:rsid w:val="005F3237"/>
    <w:rsid w:val="005F32C0"/>
    <w:rsid w:val="005F345E"/>
    <w:rsid w:val="005F367C"/>
    <w:rsid w:val="005F3C4E"/>
    <w:rsid w:val="005F3E9C"/>
    <w:rsid w:val="005F4127"/>
    <w:rsid w:val="005F448A"/>
    <w:rsid w:val="005F45A0"/>
    <w:rsid w:val="005F56F6"/>
    <w:rsid w:val="005F5936"/>
    <w:rsid w:val="005F597C"/>
    <w:rsid w:val="005F6006"/>
    <w:rsid w:val="005F64C1"/>
    <w:rsid w:val="005F64E8"/>
    <w:rsid w:val="005F675C"/>
    <w:rsid w:val="005F6C2D"/>
    <w:rsid w:val="005F6C49"/>
    <w:rsid w:val="005F6D6C"/>
    <w:rsid w:val="005F70B1"/>
    <w:rsid w:val="005F70E7"/>
    <w:rsid w:val="005F71A3"/>
    <w:rsid w:val="005F746E"/>
    <w:rsid w:val="005F752B"/>
    <w:rsid w:val="005F7533"/>
    <w:rsid w:val="005F7839"/>
    <w:rsid w:val="005F7869"/>
    <w:rsid w:val="005F7C18"/>
    <w:rsid w:val="005F7C9B"/>
    <w:rsid w:val="005F7CEB"/>
    <w:rsid w:val="00600125"/>
    <w:rsid w:val="00600196"/>
    <w:rsid w:val="00600B10"/>
    <w:rsid w:val="00600B65"/>
    <w:rsid w:val="00600DBB"/>
    <w:rsid w:val="00600EE8"/>
    <w:rsid w:val="00601226"/>
    <w:rsid w:val="0060194C"/>
    <w:rsid w:val="0060213D"/>
    <w:rsid w:val="006023C9"/>
    <w:rsid w:val="006029EE"/>
    <w:rsid w:val="00602A94"/>
    <w:rsid w:val="00602B3C"/>
    <w:rsid w:val="00602CC2"/>
    <w:rsid w:val="00603742"/>
    <w:rsid w:val="00603D9B"/>
    <w:rsid w:val="0060401C"/>
    <w:rsid w:val="0060429D"/>
    <w:rsid w:val="0060441B"/>
    <w:rsid w:val="006045E8"/>
    <w:rsid w:val="0060501B"/>
    <w:rsid w:val="0060531D"/>
    <w:rsid w:val="006055D5"/>
    <w:rsid w:val="00605615"/>
    <w:rsid w:val="00605753"/>
    <w:rsid w:val="00605BF4"/>
    <w:rsid w:val="0060688C"/>
    <w:rsid w:val="00606A4B"/>
    <w:rsid w:val="00606D17"/>
    <w:rsid w:val="00606D56"/>
    <w:rsid w:val="006071F5"/>
    <w:rsid w:val="00607532"/>
    <w:rsid w:val="00607617"/>
    <w:rsid w:val="00607C8B"/>
    <w:rsid w:val="00607D03"/>
    <w:rsid w:val="00607E42"/>
    <w:rsid w:val="00607F0D"/>
    <w:rsid w:val="00610244"/>
    <w:rsid w:val="00610806"/>
    <w:rsid w:val="0061093F"/>
    <w:rsid w:val="00610A1B"/>
    <w:rsid w:val="00610A7D"/>
    <w:rsid w:val="00611068"/>
    <w:rsid w:val="006111B6"/>
    <w:rsid w:val="00611AF8"/>
    <w:rsid w:val="00611B1D"/>
    <w:rsid w:val="00611CCB"/>
    <w:rsid w:val="00611D10"/>
    <w:rsid w:val="00611ED2"/>
    <w:rsid w:val="0061251F"/>
    <w:rsid w:val="006125EA"/>
    <w:rsid w:val="006127F8"/>
    <w:rsid w:val="00612B32"/>
    <w:rsid w:val="00612C2A"/>
    <w:rsid w:val="0061400C"/>
    <w:rsid w:val="00614393"/>
    <w:rsid w:val="0061463A"/>
    <w:rsid w:val="006146BA"/>
    <w:rsid w:val="0061490F"/>
    <w:rsid w:val="00614965"/>
    <w:rsid w:val="00614A07"/>
    <w:rsid w:val="00615623"/>
    <w:rsid w:val="0061580C"/>
    <w:rsid w:val="00615A55"/>
    <w:rsid w:val="00616212"/>
    <w:rsid w:val="00616A2B"/>
    <w:rsid w:val="00616B0A"/>
    <w:rsid w:val="00616BD8"/>
    <w:rsid w:val="00616DD8"/>
    <w:rsid w:val="00617461"/>
    <w:rsid w:val="00617CD1"/>
    <w:rsid w:val="0062040F"/>
    <w:rsid w:val="00620880"/>
    <w:rsid w:val="00621479"/>
    <w:rsid w:val="00621638"/>
    <w:rsid w:val="00621715"/>
    <w:rsid w:val="00621C96"/>
    <w:rsid w:val="00621CF4"/>
    <w:rsid w:val="00622102"/>
    <w:rsid w:val="006221E4"/>
    <w:rsid w:val="006228BE"/>
    <w:rsid w:val="006228D5"/>
    <w:rsid w:val="00622997"/>
    <w:rsid w:val="00622A8F"/>
    <w:rsid w:val="00622B7E"/>
    <w:rsid w:val="00622EFF"/>
    <w:rsid w:val="00622F86"/>
    <w:rsid w:val="006231C8"/>
    <w:rsid w:val="00623999"/>
    <w:rsid w:val="00623AE2"/>
    <w:rsid w:val="00623C07"/>
    <w:rsid w:val="00623F26"/>
    <w:rsid w:val="00624373"/>
    <w:rsid w:val="00624479"/>
    <w:rsid w:val="00624956"/>
    <w:rsid w:val="00624D02"/>
    <w:rsid w:val="00624DE7"/>
    <w:rsid w:val="006255CD"/>
    <w:rsid w:val="00625A47"/>
    <w:rsid w:val="00625B9D"/>
    <w:rsid w:val="00625D72"/>
    <w:rsid w:val="00626A73"/>
    <w:rsid w:val="00626B44"/>
    <w:rsid w:val="00626C24"/>
    <w:rsid w:val="00626EAA"/>
    <w:rsid w:val="00627110"/>
    <w:rsid w:val="0062776F"/>
    <w:rsid w:val="00630842"/>
    <w:rsid w:val="0063107C"/>
    <w:rsid w:val="006314B4"/>
    <w:rsid w:val="00631780"/>
    <w:rsid w:val="00631CE8"/>
    <w:rsid w:val="00631D3B"/>
    <w:rsid w:val="00631F2D"/>
    <w:rsid w:val="00632C72"/>
    <w:rsid w:val="00632EBD"/>
    <w:rsid w:val="00633181"/>
    <w:rsid w:val="0063319C"/>
    <w:rsid w:val="006333C4"/>
    <w:rsid w:val="00633421"/>
    <w:rsid w:val="006335B6"/>
    <w:rsid w:val="00633A9C"/>
    <w:rsid w:val="00634219"/>
    <w:rsid w:val="00634D6E"/>
    <w:rsid w:val="006358E5"/>
    <w:rsid w:val="00635909"/>
    <w:rsid w:val="00635AE3"/>
    <w:rsid w:val="0063632A"/>
    <w:rsid w:val="0063633E"/>
    <w:rsid w:val="0063681E"/>
    <w:rsid w:val="0063692F"/>
    <w:rsid w:val="00637274"/>
    <w:rsid w:val="00637466"/>
    <w:rsid w:val="00637815"/>
    <w:rsid w:val="00640444"/>
    <w:rsid w:val="006404ED"/>
    <w:rsid w:val="00641355"/>
    <w:rsid w:val="00641429"/>
    <w:rsid w:val="006414F7"/>
    <w:rsid w:val="0064165E"/>
    <w:rsid w:val="0064178B"/>
    <w:rsid w:val="00641CF8"/>
    <w:rsid w:val="00641E8C"/>
    <w:rsid w:val="00641F59"/>
    <w:rsid w:val="00641FB1"/>
    <w:rsid w:val="006421AF"/>
    <w:rsid w:val="00642310"/>
    <w:rsid w:val="006423A2"/>
    <w:rsid w:val="00642BB6"/>
    <w:rsid w:val="00642C7F"/>
    <w:rsid w:val="00642C9D"/>
    <w:rsid w:val="00642CFD"/>
    <w:rsid w:val="0064369A"/>
    <w:rsid w:val="0064369F"/>
    <w:rsid w:val="00643831"/>
    <w:rsid w:val="0064396C"/>
    <w:rsid w:val="0064399B"/>
    <w:rsid w:val="00643AA9"/>
    <w:rsid w:val="00643B2F"/>
    <w:rsid w:val="00643B3F"/>
    <w:rsid w:val="00643BAC"/>
    <w:rsid w:val="006443C1"/>
    <w:rsid w:val="006444C4"/>
    <w:rsid w:val="006444EE"/>
    <w:rsid w:val="00644950"/>
    <w:rsid w:val="006449CF"/>
    <w:rsid w:val="00645004"/>
    <w:rsid w:val="006453BD"/>
    <w:rsid w:val="00645695"/>
    <w:rsid w:val="0064602A"/>
    <w:rsid w:val="0064623E"/>
    <w:rsid w:val="0064643B"/>
    <w:rsid w:val="00647022"/>
    <w:rsid w:val="00647114"/>
    <w:rsid w:val="0064727F"/>
    <w:rsid w:val="006476D3"/>
    <w:rsid w:val="006477D1"/>
    <w:rsid w:val="0064799F"/>
    <w:rsid w:val="00647DCC"/>
    <w:rsid w:val="00647F71"/>
    <w:rsid w:val="00650F40"/>
    <w:rsid w:val="00651201"/>
    <w:rsid w:val="00651513"/>
    <w:rsid w:val="006518B6"/>
    <w:rsid w:val="00651C78"/>
    <w:rsid w:val="0065276A"/>
    <w:rsid w:val="0065279F"/>
    <w:rsid w:val="00652989"/>
    <w:rsid w:val="00652B05"/>
    <w:rsid w:val="00652B6B"/>
    <w:rsid w:val="00652C17"/>
    <w:rsid w:val="00652F54"/>
    <w:rsid w:val="00653408"/>
    <w:rsid w:val="00653409"/>
    <w:rsid w:val="00654CEB"/>
    <w:rsid w:val="006556F7"/>
    <w:rsid w:val="0065571D"/>
    <w:rsid w:val="0065573F"/>
    <w:rsid w:val="00655744"/>
    <w:rsid w:val="00655FB8"/>
    <w:rsid w:val="0065639E"/>
    <w:rsid w:val="00656A2B"/>
    <w:rsid w:val="00656E18"/>
    <w:rsid w:val="006570D6"/>
    <w:rsid w:val="006573AB"/>
    <w:rsid w:val="00657476"/>
    <w:rsid w:val="0065753F"/>
    <w:rsid w:val="00657692"/>
    <w:rsid w:val="006577A1"/>
    <w:rsid w:val="00660309"/>
    <w:rsid w:val="006607BB"/>
    <w:rsid w:val="00660CFA"/>
    <w:rsid w:val="0066108D"/>
    <w:rsid w:val="0066112D"/>
    <w:rsid w:val="006611A3"/>
    <w:rsid w:val="00661762"/>
    <w:rsid w:val="00661A1E"/>
    <w:rsid w:val="00661E00"/>
    <w:rsid w:val="00661FD8"/>
    <w:rsid w:val="00662095"/>
    <w:rsid w:val="006629BB"/>
    <w:rsid w:val="00662A04"/>
    <w:rsid w:val="00663062"/>
    <w:rsid w:val="0066313E"/>
    <w:rsid w:val="00663423"/>
    <w:rsid w:val="0066376C"/>
    <w:rsid w:val="00663B73"/>
    <w:rsid w:val="00663BDE"/>
    <w:rsid w:val="00663F1F"/>
    <w:rsid w:val="00664199"/>
    <w:rsid w:val="006645A3"/>
    <w:rsid w:val="00664786"/>
    <w:rsid w:val="00664789"/>
    <w:rsid w:val="0066563E"/>
    <w:rsid w:val="006658C4"/>
    <w:rsid w:val="006659E9"/>
    <w:rsid w:val="00665C78"/>
    <w:rsid w:val="0066624B"/>
    <w:rsid w:val="006666AB"/>
    <w:rsid w:val="0066706F"/>
    <w:rsid w:val="006674F3"/>
    <w:rsid w:val="00667996"/>
    <w:rsid w:val="006679B2"/>
    <w:rsid w:val="00670103"/>
    <w:rsid w:val="006708D2"/>
    <w:rsid w:val="00670EDA"/>
    <w:rsid w:val="0067106A"/>
    <w:rsid w:val="00671179"/>
    <w:rsid w:val="006712E5"/>
    <w:rsid w:val="006719E3"/>
    <w:rsid w:val="00671B05"/>
    <w:rsid w:val="00671E64"/>
    <w:rsid w:val="00672288"/>
    <w:rsid w:val="00672802"/>
    <w:rsid w:val="0067288E"/>
    <w:rsid w:val="00672E80"/>
    <w:rsid w:val="00673004"/>
    <w:rsid w:val="0067344D"/>
    <w:rsid w:val="006738A7"/>
    <w:rsid w:val="00673D75"/>
    <w:rsid w:val="00673DCA"/>
    <w:rsid w:val="006747A6"/>
    <w:rsid w:val="006749B1"/>
    <w:rsid w:val="006749BB"/>
    <w:rsid w:val="0067506A"/>
    <w:rsid w:val="0067556C"/>
    <w:rsid w:val="00675593"/>
    <w:rsid w:val="00675737"/>
    <w:rsid w:val="0067573F"/>
    <w:rsid w:val="00675964"/>
    <w:rsid w:val="00676081"/>
    <w:rsid w:val="00676859"/>
    <w:rsid w:val="00676B2D"/>
    <w:rsid w:val="0067709B"/>
    <w:rsid w:val="00677313"/>
    <w:rsid w:val="006777FD"/>
    <w:rsid w:val="00680058"/>
    <w:rsid w:val="00680259"/>
    <w:rsid w:val="0068088D"/>
    <w:rsid w:val="00680CBD"/>
    <w:rsid w:val="00680D6E"/>
    <w:rsid w:val="00680E0B"/>
    <w:rsid w:val="0068107A"/>
    <w:rsid w:val="00681179"/>
    <w:rsid w:val="006817E7"/>
    <w:rsid w:val="0068190F"/>
    <w:rsid w:val="00681BC4"/>
    <w:rsid w:val="00681D67"/>
    <w:rsid w:val="00681DEA"/>
    <w:rsid w:val="00682819"/>
    <w:rsid w:val="00682ECB"/>
    <w:rsid w:val="0068310F"/>
    <w:rsid w:val="006834C7"/>
    <w:rsid w:val="00683DE7"/>
    <w:rsid w:val="006840BB"/>
    <w:rsid w:val="0068444E"/>
    <w:rsid w:val="00684A97"/>
    <w:rsid w:val="00685032"/>
    <w:rsid w:val="0068510A"/>
    <w:rsid w:val="00685324"/>
    <w:rsid w:val="00685327"/>
    <w:rsid w:val="00685F2F"/>
    <w:rsid w:val="00686006"/>
    <w:rsid w:val="00686385"/>
    <w:rsid w:val="0068653B"/>
    <w:rsid w:val="00686BDA"/>
    <w:rsid w:val="00686BEB"/>
    <w:rsid w:val="00687011"/>
    <w:rsid w:val="006870BD"/>
    <w:rsid w:val="006870DE"/>
    <w:rsid w:val="0068756F"/>
    <w:rsid w:val="0068759E"/>
    <w:rsid w:val="00687B6E"/>
    <w:rsid w:val="00687E3B"/>
    <w:rsid w:val="00690005"/>
    <w:rsid w:val="0069026C"/>
    <w:rsid w:val="0069043D"/>
    <w:rsid w:val="006904AB"/>
    <w:rsid w:val="00690714"/>
    <w:rsid w:val="00690953"/>
    <w:rsid w:val="0069152F"/>
    <w:rsid w:val="00691A1D"/>
    <w:rsid w:val="00692513"/>
    <w:rsid w:val="006925F6"/>
    <w:rsid w:val="00692BD4"/>
    <w:rsid w:val="00692C77"/>
    <w:rsid w:val="00692D6C"/>
    <w:rsid w:val="006932F3"/>
    <w:rsid w:val="00693344"/>
    <w:rsid w:val="00693A59"/>
    <w:rsid w:val="00693B85"/>
    <w:rsid w:val="00694333"/>
    <w:rsid w:val="00694464"/>
    <w:rsid w:val="006948EA"/>
    <w:rsid w:val="00694C04"/>
    <w:rsid w:val="0069522A"/>
    <w:rsid w:val="0069597B"/>
    <w:rsid w:val="00695C8A"/>
    <w:rsid w:val="006962E5"/>
    <w:rsid w:val="006963F1"/>
    <w:rsid w:val="006964BE"/>
    <w:rsid w:val="006969CE"/>
    <w:rsid w:val="00696A32"/>
    <w:rsid w:val="00697C68"/>
    <w:rsid w:val="00697F2E"/>
    <w:rsid w:val="006A009D"/>
    <w:rsid w:val="006A00B8"/>
    <w:rsid w:val="006A029B"/>
    <w:rsid w:val="006A0A38"/>
    <w:rsid w:val="006A0C54"/>
    <w:rsid w:val="006A1289"/>
    <w:rsid w:val="006A1689"/>
    <w:rsid w:val="006A16D1"/>
    <w:rsid w:val="006A18C3"/>
    <w:rsid w:val="006A1A1E"/>
    <w:rsid w:val="006A1D1F"/>
    <w:rsid w:val="006A2183"/>
    <w:rsid w:val="006A22D7"/>
    <w:rsid w:val="006A23D8"/>
    <w:rsid w:val="006A2470"/>
    <w:rsid w:val="006A24C9"/>
    <w:rsid w:val="006A2655"/>
    <w:rsid w:val="006A2738"/>
    <w:rsid w:val="006A290D"/>
    <w:rsid w:val="006A2958"/>
    <w:rsid w:val="006A30E4"/>
    <w:rsid w:val="006A371B"/>
    <w:rsid w:val="006A37CE"/>
    <w:rsid w:val="006A37FD"/>
    <w:rsid w:val="006A42D0"/>
    <w:rsid w:val="006A457C"/>
    <w:rsid w:val="006A48F1"/>
    <w:rsid w:val="006A4A2B"/>
    <w:rsid w:val="006A4ABF"/>
    <w:rsid w:val="006A4F2E"/>
    <w:rsid w:val="006A4FB6"/>
    <w:rsid w:val="006A50A8"/>
    <w:rsid w:val="006A5139"/>
    <w:rsid w:val="006A5934"/>
    <w:rsid w:val="006A5C20"/>
    <w:rsid w:val="006A5E41"/>
    <w:rsid w:val="006A610C"/>
    <w:rsid w:val="006A6265"/>
    <w:rsid w:val="006A72D3"/>
    <w:rsid w:val="006A783B"/>
    <w:rsid w:val="006B0193"/>
    <w:rsid w:val="006B03D8"/>
    <w:rsid w:val="006B06BD"/>
    <w:rsid w:val="006B07F6"/>
    <w:rsid w:val="006B1B3E"/>
    <w:rsid w:val="006B1BDF"/>
    <w:rsid w:val="006B1EC2"/>
    <w:rsid w:val="006B2372"/>
    <w:rsid w:val="006B2A48"/>
    <w:rsid w:val="006B2CB6"/>
    <w:rsid w:val="006B36B9"/>
    <w:rsid w:val="006B3902"/>
    <w:rsid w:val="006B39B2"/>
    <w:rsid w:val="006B3C94"/>
    <w:rsid w:val="006B46E5"/>
    <w:rsid w:val="006B484A"/>
    <w:rsid w:val="006B4E10"/>
    <w:rsid w:val="006B4E72"/>
    <w:rsid w:val="006B500E"/>
    <w:rsid w:val="006B5490"/>
    <w:rsid w:val="006B59C2"/>
    <w:rsid w:val="006B633D"/>
    <w:rsid w:val="006B65AA"/>
    <w:rsid w:val="006B6AF3"/>
    <w:rsid w:val="006B6C28"/>
    <w:rsid w:val="006B6D16"/>
    <w:rsid w:val="006B7432"/>
    <w:rsid w:val="006B783E"/>
    <w:rsid w:val="006B7A50"/>
    <w:rsid w:val="006B7C55"/>
    <w:rsid w:val="006B7DC8"/>
    <w:rsid w:val="006B7F84"/>
    <w:rsid w:val="006C0387"/>
    <w:rsid w:val="006C0423"/>
    <w:rsid w:val="006C07EF"/>
    <w:rsid w:val="006C0EC1"/>
    <w:rsid w:val="006C103F"/>
    <w:rsid w:val="006C15A0"/>
    <w:rsid w:val="006C1A51"/>
    <w:rsid w:val="006C1C0B"/>
    <w:rsid w:val="006C22BD"/>
    <w:rsid w:val="006C29DE"/>
    <w:rsid w:val="006C2DB0"/>
    <w:rsid w:val="006C2F5D"/>
    <w:rsid w:val="006C3114"/>
    <w:rsid w:val="006C34E8"/>
    <w:rsid w:val="006C35BB"/>
    <w:rsid w:val="006C3843"/>
    <w:rsid w:val="006C3ED3"/>
    <w:rsid w:val="006C46FA"/>
    <w:rsid w:val="006C555D"/>
    <w:rsid w:val="006C58BD"/>
    <w:rsid w:val="006C5976"/>
    <w:rsid w:val="006C5B85"/>
    <w:rsid w:val="006C6514"/>
    <w:rsid w:val="006C65F1"/>
    <w:rsid w:val="006C66F5"/>
    <w:rsid w:val="006C6CE5"/>
    <w:rsid w:val="006C6F4F"/>
    <w:rsid w:val="006C74BA"/>
    <w:rsid w:val="006C758F"/>
    <w:rsid w:val="006C75B0"/>
    <w:rsid w:val="006C78A8"/>
    <w:rsid w:val="006C78F0"/>
    <w:rsid w:val="006C7A9D"/>
    <w:rsid w:val="006C7FC9"/>
    <w:rsid w:val="006D017E"/>
    <w:rsid w:val="006D0316"/>
    <w:rsid w:val="006D1458"/>
    <w:rsid w:val="006D1531"/>
    <w:rsid w:val="006D1935"/>
    <w:rsid w:val="006D1A04"/>
    <w:rsid w:val="006D1DC3"/>
    <w:rsid w:val="006D2217"/>
    <w:rsid w:val="006D2250"/>
    <w:rsid w:val="006D236C"/>
    <w:rsid w:val="006D2937"/>
    <w:rsid w:val="006D2FD9"/>
    <w:rsid w:val="006D3011"/>
    <w:rsid w:val="006D38A7"/>
    <w:rsid w:val="006D3995"/>
    <w:rsid w:val="006D4154"/>
    <w:rsid w:val="006D4842"/>
    <w:rsid w:val="006D4A29"/>
    <w:rsid w:val="006D4AE1"/>
    <w:rsid w:val="006D5619"/>
    <w:rsid w:val="006D59F6"/>
    <w:rsid w:val="006D59FD"/>
    <w:rsid w:val="006D5FA1"/>
    <w:rsid w:val="006D66F7"/>
    <w:rsid w:val="006D6C27"/>
    <w:rsid w:val="006D6D5A"/>
    <w:rsid w:val="006D6DF1"/>
    <w:rsid w:val="006D7042"/>
    <w:rsid w:val="006D70C4"/>
    <w:rsid w:val="006D769E"/>
    <w:rsid w:val="006D7B83"/>
    <w:rsid w:val="006D7C4F"/>
    <w:rsid w:val="006D7CFB"/>
    <w:rsid w:val="006E0211"/>
    <w:rsid w:val="006E022D"/>
    <w:rsid w:val="006E02FE"/>
    <w:rsid w:val="006E0405"/>
    <w:rsid w:val="006E072F"/>
    <w:rsid w:val="006E0FE5"/>
    <w:rsid w:val="006E105F"/>
    <w:rsid w:val="006E1526"/>
    <w:rsid w:val="006E153D"/>
    <w:rsid w:val="006E1A5D"/>
    <w:rsid w:val="006E1A5E"/>
    <w:rsid w:val="006E1A68"/>
    <w:rsid w:val="006E26B6"/>
    <w:rsid w:val="006E2877"/>
    <w:rsid w:val="006E2C60"/>
    <w:rsid w:val="006E2D80"/>
    <w:rsid w:val="006E2EC1"/>
    <w:rsid w:val="006E34EE"/>
    <w:rsid w:val="006E3B91"/>
    <w:rsid w:val="006E4454"/>
    <w:rsid w:val="006E45A3"/>
    <w:rsid w:val="006E4AE0"/>
    <w:rsid w:val="006E4C8F"/>
    <w:rsid w:val="006E4E52"/>
    <w:rsid w:val="006E50E1"/>
    <w:rsid w:val="006E631F"/>
    <w:rsid w:val="006E6A7B"/>
    <w:rsid w:val="006E7192"/>
    <w:rsid w:val="006E725A"/>
    <w:rsid w:val="006E72B4"/>
    <w:rsid w:val="006E7312"/>
    <w:rsid w:val="006E7593"/>
    <w:rsid w:val="006E7DFE"/>
    <w:rsid w:val="006E7F84"/>
    <w:rsid w:val="006F0062"/>
    <w:rsid w:val="006F0B54"/>
    <w:rsid w:val="006F0C42"/>
    <w:rsid w:val="006F0C5B"/>
    <w:rsid w:val="006F1756"/>
    <w:rsid w:val="006F1CCA"/>
    <w:rsid w:val="006F2140"/>
    <w:rsid w:val="006F2EAC"/>
    <w:rsid w:val="006F2FC3"/>
    <w:rsid w:val="006F3366"/>
    <w:rsid w:val="006F3F2A"/>
    <w:rsid w:val="006F3F2E"/>
    <w:rsid w:val="006F3F57"/>
    <w:rsid w:val="006F3FA3"/>
    <w:rsid w:val="006F3FC6"/>
    <w:rsid w:val="006F4920"/>
    <w:rsid w:val="006F5933"/>
    <w:rsid w:val="006F77C5"/>
    <w:rsid w:val="006F790D"/>
    <w:rsid w:val="006F7E1C"/>
    <w:rsid w:val="00700659"/>
    <w:rsid w:val="00700775"/>
    <w:rsid w:val="00700A23"/>
    <w:rsid w:val="00700A3A"/>
    <w:rsid w:val="00700CA8"/>
    <w:rsid w:val="0070161D"/>
    <w:rsid w:val="00701772"/>
    <w:rsid w:val="00701B25"/>
    <w:rsid w:val="00701E03"/>
    <w:rsid w:val="00702929"/>
    <w:rsid w:val="007032B4"/>
    <w:rsid w:val="0070365F"/>
    <w:rsid w:val="00704073"/>
    <w:rsid w:val="00704228"/>
    <w:rsid w:val="00704470"/>
    <w:rsid w:val="00704B4B"/>
    <w:rsid w:val="007052DF"/>
    <w:rsid w:val="007061BD"/>
    <w:rsid w:val="00706545"/>
    <w:rsid w:val="00706E92"/>
    <w:rsid w:val="00706F07"/>
    <w:rsid w:val="00707044"/>
    <w:rsid w:val="00707680"/>
    <w:rsid w:val="00707C28"/>
    <w:rsid w:val="00707C68"/>
    <w:rsid w:val="00707ED8"/>
    <w:rsid w:val="00707FDE"/>
    <w:rsid w:val="00710154"/>
    <w:rsid w:val="007101CE"/>
    <w:rsid w:val="007102DC"/>
    <w:rsid w:val="00710627"/>
    <w:rsid w:val="00710757"/>
    <w:rsid w:val="00711699"/>
    <w:rsid w:val="00711815"/>
    <w:rsid w:val="00711951"/>
    <w:rsid w:val="00711EBE"/>
    <w:rsid w:val="007127CC"/>
    <w:rsid w:val="00712D4F"/>
    <w:rsid w:val="00713286"/>
    <w:rsid w:val="00713AD1"/>
    <w:rsid w:val="00713D83"/>
    <w:rsid w:val="00713FAA"/>
    <w:rsid w:val="00714359"/>
    <w:rsid w:val="00714BAC"/>
    <w:rsid w:val="00714FD4"/>
    <w:rsid w:val="00715157"/>
    <w:rsid w:val="00715310"/>
    <w:rsid w:val="0071576E"/>
    <w:rsid w:val="00715ABC"/>
    <w:rsid w:val="00715AC2"/>
    <w:rsid w:val="00715B8F"/>
    <w:rsid w:val="00715BE6"/>
    <w:rsid w:val="00716076"/>
    <w:rsid w:val="007162CB"/>
    <w:rsid w:val="0071694D"/>
    <w:rsid w:val="00716BEB"/>
    <w:rsid w:val="00717D6D"/>
    <w:rsid w:val="00720371"/>
    <w:rsid w:val="00720E19"/>
    <w:rsid w:val="00721A8B"/>
    <w:rsid w:val="00721DB6"/>
    <w:rsid w:val="007222A3"/>
    <w:rsid w:val="00722433"/>
    <w:rsid w:val="00723680"/>
    <w:rsid w:val="00724A4C"/>
    <w:rsid w:val="00724BD3"/>
    <w:rsid w:val="00724F52"/>
    <w:rsid w:val="00724FCB"/>
    <w:rsid w:val="00724FF0"/>
    <w:rsid w:val="00725068"/>
    <w:rsid w:val="00725918"/>
    <w:rsid w:val="00725AB1"/>
    <w:rsid w:val="00725B4C"/>
    <w:rsid w:val="00726316"/>
    <w:rsid w:val="00726532"/>
    <w:rsid w:val="007269D7"/>
    <w:rsid w:val="00726C70"/>
    <w:rsid w:val="00726E22"/>
    <w:rsid w:val="00727632"/>
    <w:rsid w:val="00727706"/>
    <w:rsid w:val="00727846"/>
    <w:rsid w:val="00727873"/>
    <w:rsid w:val="00727AA9"/>
    <w:rsid w:val="00727CBD"/>
    <w:rsid w:val="00727E7E"/>
    <w:rsid w:val="0073029A"/>
    <w:rsid w:val="0073043F"/>
    <w:rsid w:val="007307F9"/>
    <w:rsid w:val="00730BA2"/>
    <w:rsid w:val="00730D44"/>
    <w:rsid w:val="00731573"/>
    <w:rsid w:val="007315FF"/>
    <w:rsid w:val="00731698"/>
    <w:rsid w:val="007317F1"/>
    <w:rsid w:val="00731881"/>
    <w:rsid w:val="00731BD9"/>
    <w:rsid w:val="00731ECE"/>
    <w:rsid w:val="00731FD8"/>
    <w:rsid w:val="00732AFF"/>
    <w:rsid w:val="00732D09"/>
    <w:rsid w:val="00732DCA"/>
    <w:rsid w:val="0073340A"/>
    <w:rsid w:val="00733C59"/>
    <w:rsid w:val="00734116"/>
    <w:rsid w:val="00734221"/>
    <w:rsid w:val="007343D4"/>
    <w:rsid w:val="0073480A"/>
    <w:rsid w:val="00734FE0"/>
    <w:rsid w:val="007354A1"/>
    <w:rsid w:val="00735AFC"/>
    <w:rsid w:val="00735FED"/>
    <w:rsid w:val="007363A6"/>
    <w:rsid w:val="00736682"/>
    <w:rsid w:val="007368AF"/>
    <w:rsid w:val="00736A3B"/>
    <w:rsid w:val="00737E03"/>
    <w:rsid w:val="00737E64"/>
    <w:rsid w:val="00740153"/>
    <w:rsid w:val="00740248"/>
    <w:rsid w:val="0074055C"/>
    <w:rsid w:val="00740B76"/>
    <w:rsid w:val="0074139D"/>
    <w:rsid w:val="00741572"/>
    <w:rsid w:val="0074193B"/>
    <w:rsid w:val="00741B3A"/>
    <w:rsid w:val="00742251"/>
    <w:rsid w:val="007426AC"/>
    <w:rsid w:val="00742776"/>
    <w:rsid w:val="00743969"/>
    <w:rsid w:val="00743A16"/>
    <w:rsid w:val="00743B08"/>
    <w:rsid w:val="00743C4B"/>
    <w:rsid w:val="007440C2"/>
    <w:rsid w:val="00744B48"/>
    <w:rsid w:val="00744E7F"/>
    <w:rsid w:val="00745457"/>
    <w:rsid w:val="00745B57"/>
    <w:rsid w:val="007464FE"/>
    <w:rsid w:val="007467E8"/>
    <w:rsid w:val="0074684D"/>
    <w:rsid w:val="00747016"/>
    <w:rsid w:val="00747959"/>
    <w:rsid w:val="00747A41"/>
    <w:rsid w:val="00747F49"/>
    <w:rsid w:val="00750A8B"/>
    <w:rsid w:val="007517C4"/>
    <w:rsid w:val="00751AFB"/>
    <w:rsid w:val="00751CFE"/>
    <w:rsid w:val="00751E10"/>
    <w:rsid w:val="0075280B"/>
    <w:rsid w:val="00752832"/>
    <w:rsid w:val="00752864"/>
    <w:rsid w:val="00752ADA"/>
    <w:rsid w:val="00753383"/>
    <w:rsid w:val="00753A64"/>
    <w:rsid w:val="00753D73"/>
    <w:rsid w:val="00754067"/>
    <w:rsid w:val="007544EB"/>
    <w:rsid w:val="00754B28"/>
    <w:rsid w:val="00754D45"/>
    <w:rsid w:val="00755132"/>
    <w:rsid w:val="007551D1"/>
    <w:rsid w:val="0075577C"/>
    <w:rsid w:val="0075596A"/>
    <w:rsid w:val="00755E59"/>
    <w:rsid w:val="00755FC5"/>
    <w:rsid w:val="0075611C"/>
    <w:rsid w:val="00756535"/>
    <w:rsid w:val="0075660C"/>
    <w:rsid w:val="007566EB"/>
    <w:rsid w:val="00756E76"/>
    <w:rsid w:val="007572B3"/>
    <w:rsid w:val="0075739F"/>
    <w:rsid w:val="00757503"/>
    <w:rsid w:val="007578B6"/>
    <w:rsid w:val="00757E37"/>
    <w:rsid w:val="0076008D"/>
    <w:rsid w:val="00760958"/>
    <w:rsid w:val="00760DA0"/>
    <w:rsid w:val="00760E1F"/>
    <w:rsid w:val="0076126E"/>
    <w:rsid w:val="0076241E"/>
    <w:rsid w:val="0076250F"/>
    <w:rsid w:val="00762B16"/>
    <w:rsid w:val="00762B5C"/>
    <w:rsid w:val="00762BDC"/>
    <w:rsid w:val="00763085"/>
    <w:rsid w:val="007630AF"/>
    <w:rsid w:val="00763123"/>
    <w:rsid w:val="007631C1"/>
    <w:rsid w:val="007632B4"/>
    <w:rsid w:val="007637C2"/>
    <w:rsid w:val="00763B09"/>
    <w:rsid w:val="0076478A"/>
    <w:rsid w:val="007650D0"/>
    <w:rsid w:val="007650E4"/>
    <w:rsid w:val="007650EE"/>
    <w:rsid w:val="00765BB2"/>
    <w:rsid w:val="00765E24"/>
    <w:rsid w:val="007661FE"/>
    <w:rsid w:val="00766976"/>
    <w:rsid w:val="00766D40"/>
    <w:rsid w:val="00766DF7"/>
    <w:rsid w:val="007671B1"/>
    <w:rsid w:val="007672A4"/>
    <w:rsid w:val="0076736D"/>
    <w:rsid w:val="00767555"/>
    <w:rsid w:val="00767690"/>
    <w:rsid w:val="00767DA5"/>
    <w:rsid w:val="00767E5D"/>
    <w:rsid w:val="00770609"/>
    <w:rsid w:val="00770634"/>
    <w:rsid w:val="00770A41"/>
    <w:rsid w:val="00770B19"/>
    <w:rsid w:val="00771044"/>
    <w:rsid w:val="00771219"/>
    <w:rsid w:val="00771430"/>
    <w:rsid w:val="007716B6"/>
    <w:rsid w:val="007718B7"/>
    <w:rsid w:val="00771CB0"/>
    <w:rsid w:val="00771E96"/>
    <w:rsid w:val="0077223F"/>
    <w:rsid w:val="0077235D"/>
    <w:rsid w:val="00772488"/>
    <w:rsid w:val="007727B7"/>
    <w:rsid w:val="00772B61"/>
    <w:rsid w:val="007731E8"/>
    <w:rsid w:val="007732F8"/>
    <w:rsid w:val="007744F3"/>
    <w:rsid w:val="00774607"/>
    <w:rsid w:val="00775996"/>
    <w:rsid w:val="00775EA2"/>
    <w:rsid w:val="00775F82"/>
    <w:rsid w:val="00776575"/>
    <w:rsid w:val="00776D94"/>
    <w:rsid w:val="00776DDA"/>
    <w:rsid w:val="00776F78"/>
    <w:rsid w:val="00776F8A"/>
    <w:rsid w:val="00776FE2"/>
    <w:rsid w:val="007779BE"/>
    <w:rsid w:val="00777B4C"/>
    <w:rsid w:val="00777FFB"/>
    <w:rsid w:val="007808BF"/>
    <w:rsid w:val="007811ED"/>
    <w:rsid w:val="00781777"/>
    <w:rsid w:val="00781A5E"/>
    <w:rsid w:val="007822A0"/>
    <w:rsid w:val="00782C0D"/>
    <w:rsid w:val="00782E7A"/>
    <w:rsid w:val="00782F3F"/>
    <w:rsid w:val="0078344F"/>
    <w:rsid w:val="007836CB"/>
    <w:rsid w:val="0078371D"/>
    <w:rsid w:val="00783730"/>
    <w:rsid w:val="0078377A"/>
    <w:rsid w:val="00783D76"/>
    <w:rsid w:val="007845D4"/>
    <w:rsid w:val="00784C46"/>
    <w:rsid w:val="00784E5F"/>
    <w:rsid w:val="00785162"/>
    <w:rsid w:val="00785230"/>
    <w:rsid w:val="0078537B"/>
    <w:rsid w:val="00785553"/>
    <w:rsid w:val="00785757"/>
    <w:rsid w:val="00785B0B"/>
    <w:rsid w:val="00786312"/>
    <w:rsid w:val="00786413"/>
    <w:rsid w:val="007870BE"/>
    <w:rsid w:val="007870CA"/>
    <w:rsid w:val="007876B5"/>
    <w:rsid w:val="00787A19"/>
    <w:rsid w:val="00787A97"/>
    <w:rsid w:val="00787EA8"/>
    <w:rsid w:val="00790413"/>
    <w:rsid w:val="00790751"/>
    <w:rsid w:val="00790B20"/>
    <w:rsid w:val="00790D0F"/>
    <w:rsid w:val="00790F0F"/>
    <w:rsid w:val="00790F20"/>
    <w:rsid w:val="00790FF4"/>
    <w:rsid w:val="00790FFB"/>
    <w:rsid w:val="00791433"/>
    <w:rsid w:val="00791518"/>
    <w:rsid w:val="007915A6"/>
    <w:rsid w:val="00791663"/>
    <w:rsid w:val="0079190C"/>
    <w:rsid w:val="00791BCB"/>
    <w:rsid w:val="007936D6"/>
    <w:rsid w:val="0079375B"/>
    <w:rsid w:val="00793B19"/>
    <w:rsid w:val="00793B6A"/>
    <w:rsid w:val="0079400C"/>
    <w:rsid w:val="00794224"/>
    <w:rsid w:val="007943A8"/>
    <w:rsid w:val="00794FD7"/>
    <w:rsid w:val="007958E5"/>
    <w:rsid w:val="0079590C"/>
    <w:rsid w:val="00795FDF"/>
    <w:rsid w:val="0079618C"/>
    <w:rsid w:val="0079622F"/>
    <w:rsid w:val="00796495"/>
    <w:rsid w:val="00797308"/>
    <w:rsid w:val="00797A5F"/>
    <w:rsid w:val="00797BDA"/>
    <w:rsid w:val="007A0063"/>
    <w:rsid w:val="007A058C"/>
    <w:rsid w:val="007A1385"/>
    <w:rsid w:val="007A1CD2"/>
    <w:rsid w:val="007A2552"/>
    <w:rsid w:val="007A2943"/>
    <w:rsid w:val="007A3461"/>
    <w:rsid w:val="007A363E"/>
    <w:rsid w:val="007A3A11"/>
    <w:rsid w:val="007A3FF4"/>
    <w:rsid w:val="007A40F9"/>
    <w:rsid w:val="007A450E"/>
    <w:rsid w:val="007A4784"/>
    <w:rsid w:val="007A4790"/>
    <w:rsid w:val="007A48DD"/>
    <w:rsid w:val="007A5A05"/>
    <w:rsid w:val="007A5EF3"/>
    <w:rsid w:val="007A5FF8"/>
    <w:rsid w:val="007A600F"/>
    <w:rsid w:val="007A60EA"/>
    <w:rsid w:val="007A6587"/>
    <w:rsid w:val="007A667E"/>
    <w:rsid w:val="007A67D8"/>
    <w:rsid w:val="007A6D8F"/>
    <w:rsid w:val="007A6DCA"/>
    <w:rsid w:val="007A71A5"/>
    <w:rsid w:val="007A7563"/>
    <w:rsid w:val="007A7910"/>
    <w:rsid w:val="007A7C05"/>
    <w:rsid w:val="007A7CCB"/>
    <w:rsid w:val="007A7DAF"/>
    <w:rsid w:val="007B018D"/>
    <w:rsid w:val="007B0558"/>
    <w:rsid w:val="007B0812"/>
    <w:rsid w:val="007B0876"/>
    <w:rsid w:val="007B09E1"/>
    <w:rsid w:val="007B0FAC"/>
    <w:rsid w:val="007B12C4"/>
    <w:rsid w:val="007B12DD"/>
    <w:rsid w:val="007B13BA"/>
    <w:rsid w:val="007B144F"/>
    <w:rsid w:val="007B192F"/>
    <w:rsid w:val="007B2958"/>
    <w:rsid w:val="007B2C5A"/>
    <w:rsid w:val="007B2DD2"/>
    <w:rsid w:val="007B2FDA"/>
    <w:rsid w:val="007B305C"/>
    <w:rsid w:val="007B30B4"/>
    <w:rsid w:val="007B3261"/>
    <w:rsid w:val="007B3559"/>
    <w:rsid w:val="007B4075"/>
    <w:rsid w:val="007B40B2"/>
    <w:rsid w:val="007B4160"/>
    <w:rsid w:val="007B41D6"/>
    <w:rsid w:val="007B46A4"/>
    <w:rsid w:val="007B46E2"/>
    <w:rsid w:val="007B4A0E"/>
    <w:rsid w:val="007B4A72"/>
    <w:rsid w:val="007B4BDE"/>
    <w:rsid w:val="007B4F06"/>
    <w:rsid w:val="007B567C"/>
    <w:rsid w:val="007B62A6"/>
    <w:rsid w:val="007B6A8D"/>
    <w:rsid w:val="007B6D3A"/>
    <w:rsid w:val="007B758B"/>
    <w:rsid w:val="007B7C9F"/>
    <w:rsid w:val="007B7DE2"/>
    <w:rsid w:val="007C04FB"/>
    <w:rsid w:val="007C0D6C"/>
    <w:rsid w:val="007C0E60"/>
    <w:rsid w:val="007C0EBA"/>
    <w:rsid w:val="007C1030"/>
    <w:rsid w:val="007C1090"/>
    <w:rsid w:val="007C10FF"/>
    <w:rsid w:val="007C2557"/>
    <w:rsid w:val="007C255A"/>
    <w:rsid w:val="007C260B"/>
    <w:rsid w:val="007C2650"/>
    <w:rsid w:val="007C2A0F"/>
    <w:rsid w:val="007C2E03"/>
    <w:rsid w:val="007C331E"/>
    <w:rsid w:val="007C334E"/>
    <w:rsid w:val="007C3CB8"/>
    <w:rsid w:val="007C3FC5"/>
    <w:rsid w:val="007C4033"/>
    <w:rsid w:val="007C44D5"/>
    <w:rsid w:val="007C4524"/>
    <w:rsid w:val="007C513C"/>
    <w:rsid w:val="007C5947"/>
    <w:rsid w:val="007C5AC2"/>
    <w:rsid w:val="007C5E93"/>
    <w:rsid w:val="007C6660"/>
    <w:rsid w:val="007C6D9C"/>
    <w:rsid w:val="007C7266"/>
    <w:rsid w:val="007C7735"/>
    <w:rsid w:val="007C77B9"/>
    <w:rsid w:val="007C7B60"/>
    <w:rsid w:val="007D00B4"/>
    <w:rsid w:val="007D0E7E"/>
    <w:rsid w:val="007D0FC9"/>
    <w:rsid w:val="007D1241"/>
    <w:rsid w:val="007D1CA9"/>
    <w:rsid w:val="007D1CBB"/>
    <w:rsid w:val="007D280D"/>
    <w:rsid w:val="007D2A11"/>
    <w:rsid w:val="007D2A14"/>
    <w:rsid w:val="007D3308"/>
    <w:rsid w:val="007D3408"/>
    <w:rsid w:val="007D3781"/>
    <w:rsid w:val="007D4444"/>
    <w:rsid w:val="007D4826"/>
    <w:rsid w:val="007D4AA0"/>
    <w:rsid w:val="007D4ADE"/>
    <w:rsid w:val="007D4FAF"/>
    <w:rsid w:val="007D577C"/>
    <w:rsid w:val="007D597A"/>
    <w:rsid w:val="007D7091"/>
    <w:rsid w:val="007D70C8"/>
    <w:rsid w:val="007D7287"/>
    <w:rsid w:val="007D754E"/>
    <w:rsid w:val="007D7562"/>
    <w:rsid w:val="007D7744"/>
    <w:rsid w:val="007D7BC6"/>
    <w:rsid w:val="007E01DA"/>
    <w:rsid w:val="007E096C"/>
    <w:rsid w:val="007E0AD7"/>
    <w:rsid w:val="007E1522"/>
    <w:rsid w:val="007E15C2"/>
    <w:rsid w:val="007E1C71"/>
    <w:rsid w:val="007E1DA1"/>
    <w:rsid w:val="007E2132"/>
    <w:rsid w:val="007E251F"/>
    <w:rsid w:val="007E2B65"/>
    <w:rsid w:val="007E2B69"/>
    <w:rsid w:val="007E2BDF"/>
    <w:rsid w:val="007E2E3B"/>
    <w:rsid w:val="007E3103"/>
    <w:rsid w:val="007E3350"/>
    <w:rsid w:val="007E350D"/>
    <w:rsid w:val="007E3EF3"/>
    <w:rsid w:val="007E4339"/>
    <w:rsid w:val="007E4810"/>
    <w:rsid w:val="007E4A76"/>
    <w:rsid w:val="007E4F2B"/>
    <w:rsid w:val="007E5117"/>
    <w:rsid w:val="007E5125"/>
    <w:rsid w:val="007E5B2E"/>
    <w:rsid w:val="007E5BC5"/>
    <w:rsid w:val="007E6307"/>
    <w:rsid w:val="007E65DA"/>
    <w:rsid w:val="007E66B7"/>
    <w:rsid w:val="007E6998"/>
    <w:rsid w:val="007E6CC6"/>
    <w:rsid w:val="007E796D"/>
    <w:rsid w:val="007E7E06"/>
    <w:rsid w:val="007F0099"/>
    <w:rsid w:val="007F01FD"/>
    <w:rsid w:val="007F0EC7"/>
    <w:rsid w:val="007F10BD"/>
    <w:rsid w:val="007F1805"/>
    <w:rsid w:val="007F1CC0"/>
    <w:rsid w:val="007F206C"/>
    <w:rsid w:val="007F244C"/>
    <w:rsid w:val="007F25EB"/>
    <w:rsid w:val="007F269E"/>
    <w:rsid w:val="007F2A65"/>
    <w:rsid w:val="007F2D1D"/>
    <w:rsid w:val="007F3261"/>
    <w:rsid w:val="007F3422"/>
    <w:rsid w:val="007F4586"/>
    <w:rsid w:val="007F48D6"/>
    <w:rsid w:val="007F4C00"/>
    <w:rsid w:val="007F54F6"/>
    <w:rsid w:val="007F5625"/>
    <w:rsid w:val="007F5806"/>
    <w:rsid w:val="007F5A09"/>
    <w:rsid w:val="007F5D56"/>
    <w:rsid w:val="007F5ED1"/>
    <w:rsid w:val="007F60C9"/>
    <w:rsid w:val="007F658D"/>
    <w:rsid w:val="007F68A7"/>
    <w:rsid w:val="007F6BA6"/>
    <w:rsid w:val="007F6FCD"/>
    <w:rsid w:val="007F702E"/>
    <w:rsid w:val="007F721E"/>
    <w:rsid w:val="007F7404"/>
    <w:rsid w:val="007F7855"/>
    <w:rsid w:val="007F7889"/>
    <w:rsid w:val="007F7B5B"/>
    <w:rsid w:val="0080039A"/>
    <w:rsid w:val="008005AB"/>
    <w:rsid w:val="00800D6C"/>
    <w:rsid w:val="0080171F"/>
    <w:rsid w:val="00801966"/>
    <w:rsid w:val="00801DAC"/>
    <w:rsid w:val="0080230B"/>
    <w:rsid w:val="00803707"/>
    <w:rsid w:val="0080377D"/>
    <w:rsid w:val="00803A1B"/>
    <w:rsid w:val="00803F47"/>
    <w:rsid w:val="008046C0"/>
    <w:rsid w:val="00804B24"/>
    <w:rsid w:val="00804F37"/>
    <w:rsid w:val="008056A4"/>
    <w:rsid w:val="0080591C"/>
    <w:rsid w:val="00805C24"/>
    <w:rsid w:val="008061D5"/>
    <w:rsid w:val="00806415"/>
    <w:rsid w:val="008070E0"/>
    <w:rsid w:val="00807241"/>
    <w:rsid w:val="008072AC"/>
    <w:rsid w:val="008074F7"/>
    <w:rsid w:val="008075ED"/>
    <w:rsid w:val="00807994"/>
    <w:rsid w:val="00807FDA"/>
    <w:rsid w:val="00810551"/>
    <w:rsid w:val="0081059A"/>
    <w:rsid w:val="008105D3"/>
    <w:rsid w:val="0081094A"/>
    <w:rsid w:val="00810997"/>
    <w:rsid w:val="00810C59"/>
    <w:rsid w:val="008110BF"/>
    <w:rsid w:val="008111F5"/>
    <w:rsid w:val="00811480"/>
    <w:rsid w:val="008115CC"/>
    <w:rsid w:val="008118DE"/>
    <w:rsid w:val="0081190A"/>
    <w:rsid w:val="00811F07"/>
    <w:rsid w:val="00811F78"/>
    <w:rsid w:val="00812011"/>
    <w:rsid w:val="008122DF"/>
    <w:rsid w:val="0081255D"/>
    <w:rsid w:val="008125B4"/>
    <w:rsid w:val="00812702"/>
    <w:rsid w:val="00812FCF"/>
    <w:rsid w:val="00813065"/>
    <w:rsid w:val="008137C2"/>
    <w:rsid w:val="00814677"/>
    <w:rsid w:val="0081470D"/>
    <w:rsid w:val="00814894"/>
    <w:rsid w:val="00814A06"/>
    <w:rsid w:val="00814AF1"/>
    <w:rsid w:val="00815931"/>
    <w:rsid w:val="008160A5"/>
    <w:rsid w:val="00816CA6"/>
    <w:rsid w:val="00816ECE"/>
    <w:rsid w:val="008177C9"/>
    <w:rsid w:val="00817B15"/>
    <w:rsid w:val="00817D55"/>
    <w:rsid w:val="00820053"/>
    <w:rsid w:val="00820408"/>
    <w:rsid w:val="00820453"/>
    <w:rsid w:val="00820EFB"/>
    <w:rsid w:val="00820F1B"/>
    <w:rsid w:val="00821845"/>
    <w:rsid w:val="00822B02"/>
    <w:rsid w:val="00823037"/>
    <w:rsid w:val="00823BD4"/>
    <w:rsid w:val="00823C78"/>
    <w:rsid w:val="00823D68"/>
    <w:rsid w:val="00823D8D"/>
    <w:rsid w:val="00823FCA"/>
    <w:rsid w:val="00824216"/>
    <w:rsid w:val="008243B5"/>
    <w:rsid w:val="00824670"/>
    <w:rsid w:val="00824863"/>
    <w:rsid w:val="00824A20"/>
    <w:rsid w:val="00824FED"/>
    <w:rsid w:val="008250CA"/>
    <w:rsid w:val="00825CBF"/>
    <w:rsid w:val="00825CC5"/>
    <w:rsid w:val="008269BC"/>
    <w:rsid w:val="00827239"/>
    <w:rsid w:val="008276A3"/>
    <w:rsid w:val="00827841"/>
    <w:rsid w:val="00830157"/>
    <w:rsid w:val="00830515"/>
    <w:rsid w:val="00830704"/>
    <w:rsid w:val="00830A0B"/>
    <w:rsid w:val="00830BA8"/>
    <w:rsid w:val="00830EE1"/>
    <w:rsid w:val="00831111"/>
    <w:rsid w:val="00831195"/>
    <w:rsid w:val="008311A6"/>
    <w:rsid w:val="008314DB"/>
    <w:rsid w:val="008316AD"/>
    <w:rsid w:val="0083174B"/>
    <w:rsid w:val="00831904"/>
    <w:rsid w:val="00831914"/>
    <w:rsid w:val="00831DDF"/>
    <w:rsid w:val="00831E49"/>
    <w:rsid w:val="00831F6C"/>
    <w:rsid w:val="00832345"/>
    <w:rsid w:val="00832360"/>
    <w:rsid w:val="008326D0"/>
    <w:rsid w:val="00832877"/>
    <w:rsid w:val="00832BF2"/>
    <w:rsid w:val="00833226"/>
    <w:rsid w:val="00833688"/>
    <w:rsid w:val="00833843"/>
    <w:rsid w:val="00833F1D"/>
    <w:rsid w:val="0083466B"/>
    <w:rsid w:val="00834909"/>
    <w:rsid w:val="008350A1"/>
    <w:rsid w:val="0083564D"/>
    <w:rsid w:val="00835698"/>
    <w:rsid w:val="00836200"/>
    <w:rsid w:val="00836A5C"/>
    <w:rsid w:val="0083767D"/>
    <w:rsid w:val="00837C52"/>
    <w:rsid w:val="00840296"/>
    <w:rsid w:val="00840518"/>
    <w:rsid w:val="008407C7"/>
    <w:rsid w:val="00840863"/>
    <w:rsid w:val="00840949"/>
    <w:rsid w:val="00840A3B"/>
    <w:rsid w:val="00840CE6"/>
    <w:rsid w:val="00841A30"/>
    <w:rsid w:val="00841CF3"/>
    <w:rsid w:val="00841FA1"/>
    <w:rsid w:val="008422B8"/>
    <w:rsid w:val="0084273F"/>
    <w:rsid w:val="008428B4"/>
    <w:rsid w:val="00842A4D"/>
    <w:rsid w:val="008432D1"/>
    <w:rsid w:val="0084345D"/>
    <w:rsid w:val="0084359F"/>
    <w:rsid w:val="00843AC5"/>
    <w:rsid w:val="00843CF6"/>
    <w:rsid w:val="00843E54"/>
    <w:rsid w:val="00843F32"/>
    <w:rsid w:val="00844713"/>
    <w:rsid w:val="0084497F"/>
    <w:rsid w:val="00844B1B"/>
    <w:rsid w:val="00844EA9"/>
    <w:rsid w:val="0084542E"/>
    <w:rsid w:val="008454D1"/>
    <w:rsid w:val="0084572E"/>
    <w:rsid w:val="00845C03"/>
    <w:rsid w:val="00845CCD"/>
    <w:rsid w:val="00845DA0"/>
    <w:rsid w:val="00846694"/>
    <w:rsid w:val="0084747D"/>
    <w:rsid w:val="00847493"/>
    <w:rsid w:val="008475CC"/>
    <w:rsid w:val="00847E66"/>
    <w:rsid w:val="00847F48"/>
    <w:rsid w:val="008501BF"/>
    <w:rsid w:val="0085036C"/>
    <w:rsid w:val="00850434"/>
    <w:rsid w:val="0085090E"/>
    <w:rsid w:val="00850DCC"/>
    <w:rsid w:val="00851A1B"/>
    <w:rsid w:val="0085251F"/>
    <w:rsid w:val="0085267B"/>
    <w:rsid w:val="008526B0"/>
    <w:rsid w:val="00852A54"/>
    <w:rsid w:val="00852C68"/>
    <w:rsid w:val="00853350"/>
    <w:rsid w:val="00853432"/>
    <w:rsid w:val="008537E9"/>
    <w:rsid w:val="00853A1A"/>
    <w:rsid w:val="00853A1F"/>
    <w:rsid w:val="00853A8A"/>
    <w:rsid w:val="00854845"/>
    <w:rsid w:val="00854BFD"/>
    <w:rsid w:val="00855118"/>
    <w:rsid w:val="008551A4"/>
    <w:rsid w:val="0085536C"/>
    <w:rsid w:val="0085547A"/>
    <w:rsid w:val="00855964"/>
    <w:rsid w:val="00855DF6"/>
    <w:rsid w:val="00856084"/>
    <w:rsid w:val="00856F37"/>
    <w:rsid w:val="00857554"/>
    <w:rsid w:val="00857682"/>
    <w:rsid w:val="008601F6"/>
    <w:rsid w:val="008602C1"/>
    <w:rsid w:val="00860507"/>
    <w:rsid w:val="0086084C"/>
    <w:rsid w:val="00860D25"/>
    <w:rsid w:val="008612E6"/>
    <w:rsid w:val="008616E2"/>
    <w:rsid w:val="00861F3B"/>
    <w:rsid w:val="0086209C"/>
    <w:rsid w:val="008621EC"/>
    <w:rsid w:val="008623EF"/>
    <w:rsid w:val="008625F9"/>
    <w:rsid w:val="008629B5"/>
    <w:rsid w:val="008629D6"/>
    <w:rsid w:val="00863312"/>
    <w:rsid w:val="00863D0C"/>
    <w:rsid w:val="00863D6D"/>
    <w:rsid w:val="00863ECE"/>
    <w:rsid w:val="00864168"/>
    <w:rsid w:val="008641D3"/>
    <w:rsid w:val="00864C6B"/>
    <w:rsid w:val="00864DDB"/>
    <w:rsid w:val="00864F5A"/>
    <w:rsid w:val="00865361"/>
    <w:rsid w:val="00865433"/>
    <w:rsid w:val="00865434"/>
    <w:rsid w:val="0086547B"/>
    <w:rsid w:val="00865551"/>
    <w:rsid w:val="00866522"/>
    <w:rsid w:val="008666BE"/>
    <w:rsid w:val="00866D58"/>
    <w:rsid w:val="00866DED"/>
    <w:rsid w:val="00867304"/>
    <w:rsid w:val="00867AE6"/>
    <w:rsid w:val="00867B4A"/>
    <w:rsid w:val="008703E6"/>
    <w:rsid w:val="00870860"/>
    <w:rsid w:val="0087096F"/>
    <w:rsid w:val="00870B0C"/>
    <w:rsid w:val="00871619"/>
    <w:rsid w:val="008718B7"/>
    <w:rsid w:val="008719D0"/>
    <w:rsid w:val="00871A8D"/>
    <w:rsid w:val="00871CF1"/>
    <w:rsid w:val="00872599"/>
    <w:rsid w:val="00872614"/>
    <w:rsid w:val="008726A6"/>
    <w:rsid w:val="00872905"/>
    <w:rsid w:val="008729B7"/>
    <w:rsid w:val="00872AAB"/>
    <w:rsid w:val="00872C10"/>
    <w:rsid w:val="00872E33"/>
    <w:rsid w:val="00873314"/>
    <w:rsid w:val="0087331A"/>
    <w:rsid w:val="008733AA"/>
    <w:rsid w:val="0087357E"/>
    <w:rsid w:val="00873744"/>
    <w:rsid w:val="00873D3F"/>
    <w:rsid w:val="00874052"/>
    <w:rsid w:val="00874540"/>
    <w:rsid w:val="00874659"/>
    <w:rsid w:val="00874904"/>
    <w:rsid w:val="00874C1A"/>
    <w:rsid w:val="0087599A"/>
    <w:rsid w:val="008762F6"/>
    <w:rsid w:val="00876312"/>
    <w:rsid w:val="00876420"/>
    <w:rsid w:val="008769DA"/>
    <w:rsid w:val="00876A6A"/>
    <w:rsid w:val="008773C8"/>
    <w:rsid w:val="008776FD"/>
    <w:rsid w:val="00877994"/>
    <w:rsid w:val="00877F47"/>
    <w:rsid w:val="008800EB"/>
    <w:rsid w:val="008808B2"/>
    <w:rsid w:val="008808F7"/>
    <w:rsid w:val="00880A61"/>
    <w:rsid w:val="00880B7F"/>
    <w:rsid w:val="00880CF2"/>
    <w:rsid w:val="00880F8C"/>
    <w:rsid w:val="0088136E"/>
    <w:rsid w:val="00881CAF"/>
    <w:rsid w:val="00881D66"/>
    <w:rsid w:val="00881FBB"/>
    <w:rsid w:val="0088220A"/>
    <w:rsid w:val="0088221E"/>
    <w:rsid w:val="00882226"/>
    <w:rsid w:val="008822E1"/>
    <w:rsid w:val="00882D0E"/>
    <w:rsid w:val="00882FD2"/>
    <w:rsid w:val="0088358C"/>
    <w:rsid w:val="008837CA"/>
    <w:rsid w:val="0088391B"/>
    <w:rsid w:val="00883922"/>
    <w:rsid w:val="008845A7"/>
    <w:rsid w:val="008850CC"/>
    <w:rsid w:val="00885714"/>
    <w:rsid w:val="008858AE"/>
    <w:rsid w:val="00885B44"/>
    <w:rsid w:val="00885E0F"/>
    <w:rsid w:val="00886442"/>
    <w:rsid w:val="00886482"/>
    <w:rsid w:val="008864A4"/>
    <w:rsid w:val="008864D0"/>
    <w:rsid w:val="00886B65"/>
    <w:rsid w:val="00886D05"/>
    <w:rsid w:val="00886D55"/>
    <w:rsid w:val="00886E56"/>
    <w:rsid w:val="00887A07"/>
    <w:rsid w:val="00887E7A"/>
    <w:rsid w:val="0089007E"/>
    <w:rsid w:val="008902F8"/>
    <w:rsid w:val="008908C3"/>
    <w:rsid w:val="00890EC6"/>
    <w:rsid w:val="00891081"/>
    <w:rsid w:val="00891173"/>
    <w:rsid w:val="0089127B"/>
    <w:rsid w:val="0089156E"/>
    <w:rsid w:val="00891695"/>
    <w:rsid w:val="008916A8"/>
    <w:rsid w:val="00891C09"/>
    <w:rsid w:val="00892100"/>
    <w:rsid w:val="00892136"/>
    <w:rsid w:val="008921A3"/>
    <w:rsid w:val="00892D38"/>
    <w:rsid w:val="008930CA"/>
    <w:rsid w:val="0089330D"/>
    <w:rsid w:val="00893803"/>
    <w:rsid w:val="00893DC5"/>
    <w:rsid w:val="00894EDB"/>
    <w:rsid w:val="0089506F"/>
    <w:rsid w:val="00895085"/>
    <w:rsid w:val="00895125"/>
    <w:rsid w:val="008952BF"/>
    <w:rsid w:val="00895533"/>
    <w:rsid w:val="00895B5A"/>
    <w:rsid w:val="008964B7"/>
    <w:rsid w:val="008964D7"/>
    <w:rsid w:val="00896775"/>
    <w:rsid w:val="00896CDF"/>
    <w:rsid w:val="008973E0"/>
    <w:rsid w:val="00897556"/>
    <w:rsid w:val="00897B58"/>
    <w:rsid w:val="00897B7D"/>
    <w:rsid w:val="00897F78"/>
    <w:rsid w:val="008A03FC"/>
    <w:rsid w:val="008A1185"/>
    <w:rsid w:val="008A13FB"/>
    <w:rsid w:val="008A1C9A"/>
    <w:rsid w:val="008A1F87"/>
    <w:rsid w:val="008A20CB"/>
    <w:rsid w:val="008A2460"/>
    <w:rsid w:val="008A2DDA"/>
    <w:rsid w:val="008A2F67"/>
    <w:rsid w:val="008A365A"/>
    <w:rsid w:val="008A37F8"/>
    <w:rsid w:val="008A3AC4"/>
    <w:rsid w:val="008A3B32"/>
    <w:rsid w:val="008A4AAF"/>
    <w:rsid w:val="008A4CA7"/>
    <w:rsid w:val="008A5F2F"/>
    <w:rsid w:val="008A60CA"/>
    <w:rsid w:val="008A60D6"/>
    <w:rsid w:val="008A60E9"/>
    <w:rsid w:val="008A612B"/>
    <w:rsid w:val="008A6986"/>
    <w:rsid w:val="008A6C5F"/>
    <w:rsid w:val="008A7197"/>
    <w:rsid w:val="008A77B9"/>
    <w:rsid w:val="008A7A1E"/>
    <w:rsid w:val="008A7C79"/>
    <w:rsid w:val="008A7D4C"/>
    <w:rsid w:val="008B0853"/>
    <w:rsid w:val="008B08CF"/>
    <w:rsid w:val="008B0A35"/>
    <w:rsid w:val="008B16A0"/>
    <w:rsid w:val="008B1CB6"/>
    <w:rsid w:val="008B1CD1"/>
    <w:rsid w:val="008B29F5"/>
    <w:rsid w:val="008B2A7D"/>
    <w:rsid w:val="008B35FB"/>
    <w:rsid w:val="008B3AAD"/>
    <w:rsid w:val="008B3B81"/>
    <w:rsid w:val="008B3C4D"/>
    <w:rsid w:val="008B4139"/>
    <w:rsid w:val="008B4259"/>
    <w:rsid w:val="008B4B53"/>
    <w:rsid w:val="008B4D09"/>
    <w:rsid w:val="008B4E64"/>
    <w:rsid w:val="008B5154"/>
    <w:rsid w:val="008B5907"/>
    <w:rsid w:val="008B5B0A"/>
    <w:rsid w:val="008B613D"/>
    <w:rsid w:val="008B624E"/>
    <w:rsid w:val="008B6744"/>
    <w:rsid w:val="008B6A30"/>
    <w:rsid w:val="008B6F02"/>
    <w:rsid w:val="008B7069"/>
    <w:rsid w:val="008B707D"/>
    <w:rsid w:val="008B74E9"/>
    <w:rsid w:val="008B7716"/>
    <w:rsid w:val="008B7CA1"/>
    <w:rsid w:val="008C01BB"/>
    <w:rsid w:val="008C06F2"/>
    <w:rsid w:val="008C0849"/>
    <w:rsid w:val="008C0B2E"/>
    <w:rsid w:val="008C0E20"/>
    <w:rsid w:val="008C1293"/>
    <w:rsid w:val="008C153E"/>
    <w:rsid w:val="008C1944"/>
    <w:rsid w:val="008C1E26"/>
    <w:rsid w:val="008C1EC9"/>
    <w:rsid w:val="008C20F6"/>
    <w:rsid w:val="008C2151"/>
    <w:rsid w:val="008C2209"/>
    <w:rsid w:val="008C231D"/>
    <w:rsid w:val="008C2A5B"/>
    <w:rsid w:val="008C2CB5"/>
    <w:rsid w:val="008C2DDB"/>
    <w:rsid w:val="008C3726"/>
    <w:rsid w:val="008C3AE2"/>
    <w:rsid w:val="008C3B8F"/>
    <w:rsid w:val="008C3C59"/>
    <w:rsid w:val="008C3E17"/>
    <w:rsid w:val="008C3E23"/>
    <w:rsid w:val="008C3E52"/>
    <w:rsid w:val="008C41B0"/>
    <w:rsid w:val="008C423C"/>
    <w:rsid w:val="008C43B2"/>
    <w:rsid w:val="008C44D2"/>
    <w:rsid w:val="008C4954"/>
    <w:rsid w:val="008C4B2B"/>
    <w:rsid w:val="008C5215"/>
    <w:rsid w:val="008C5CD4"/>
    <w:rsid w:val="008C61A4"/>
    <w:rsid w:val="008C6245"/>
    <w:rsid w:val="008C64C9"/>
    <w:rsid w:val="008C6A0E"/>
    <w:rsid w:val="008C6A59"/>
    <w:rsid w:val="008C6C20"/>
    <w:rsid w:val="008C6DF5"/>
    <w:rsid w:val="008C6E8B"/>
    <w:rsid w:val="008C76FC"/>
    <w:rsid w:val="008D024B"/>
    <w:rsid w:val="008D0A29"/>
    <w:rsid w:val="008D0A69"/>
    <w:rsid w:val="008D158F"/>
    <w:rsid w:val="008D26A1"/>
    <w:rsid w:val="008D2942"/>
    <w:rsid w:val="008D2F63"/>
    <w:rsid w:val="008D3098"/>
    <w:rsid w:val="008D3230"/>
    <w:rsid w:val="008D3668"/>
    <w:rsid w:val="008D39B9"/>
    <w:rsid w:val="008D412B"/>
    <w:rsid w:val="008D49D0"/>
    <w:rsid w:val="008D4C90"/>
    <w:rsid w:val="008D4CA0"/>
    <w:rsid w:val="008D4E64"/>
    <w:rsid w:val="008D5D84"/>
    <w:rsid w:val="008D6234"/>
    <w:rsid w:val="008D6324"/>
    <w:rsid w:val="008D64CD"/>
    <w:rsid w:val="008D75C2"/>
    <w:rsid w:val="008D7A6A"/>
    <w:rsid w:val="008D7DD4"/>
    <w:rsid w:val="008E0546"/>
    <w:rsid w:val="008E0DA0"/>
    <w:rsid w:val="008E0DB6"/>
    <w:rsid w:val="008E165E"/>
    <w:rsid w:val="008E1908"/>
    <w:rsid w:val="008E20B6"/>
    <w:rsid w:val="008E2248"/>
    <w:rsid w:val="008E22BA"/>
    <w:rsid w:val="008E23A4"/>
    <w:rsid w:val="008E2700"/>
    <w:rsid w:val="008E3025"/>
    <w:rsid w:val="008E3037"/>
    <w:rsid w:val="008E3172"/>
    <w:rsid w:val="008E3C54"/>
    <w:rsid w:val="008E3F29"/>
    <w:rsid w:val="008E3FA3"/>
    <w:rsid w:val="008E3FCC"/>
    <w:rsid w:val="008E40DA"/>
    <w:rsid w:val="008E4201"/>
    <w:rsid w:val="008E422C"/>
    <w:rsid w:val="008E429D"/>
    <w:rsid w:val="008E44A8"/>
    <w:rsid w:val="008E44B8"/>
    <w:rsid w:val="008E47AF"/>
    <w:rsid w:val="008E484F"/>
    <w:rsid w:val="008E4A94"/>
    <w:rsid w:val="008E5620"/>
    <w:rsid w:val="008E5785"/>
    <w:rsid w:val="008E659E"/>
    <w:rsid w:val="008E7334"/>
    <w:rsid w:val="008E7361"/>
    <w:rsid w:val="008E7EDA"/>
    <w:rsid w:val="008F033B"/>
    <w:rsid w:val="008F06D9"/>
    <w:rsid w:val="008F0770"/>
    <w:rsid w:val="008F07A9"/>
    <w:rsid w:val="008F0F47"/>
    <w:rsid w:val="008F113A"/>
    <w:rsid w:val="008F129F"/>
    <w:rsid w:val="008F158D"/>
    <w:rsid w:val="008F1BC4"/>
    <w:rsid w:val="008F1E80"/>
    <w:rsid w:val="008F203C"/>
    <w:rsid w:val="008F2792"/>
    <w:rsid w:val="008F2F2E"/>
    <w:rsid w:val="008F34BA"/>
    <w:rsid w:val="008F39EB"/>
    <w:rsid w:val="008F3E68"/>
    <w:rsid w:val="008F4039"/>
    <w:rsid w:val="008F46F6"/>
    <w:rsid w:val="008F51B2"/>
    <w:rsid w:val="008F5479"/>
    <w:rsid w:val="008F5ED6"/>
    <w:rsid w:val="008F5F43"/>
    <w:rsid w:val="008F61CD"/>
    <w:rsid w:val="008F61E6"/>
    <w:rsid w:val="008F6309"/>
    <w:rsid w:val="008F6604"/>
    <w:rsid w:val="008F68DB"/>
    <w:rsid w:val="008F6AFD"/>
    <w:rsid w:val="008F7554"/>
    <w:rsid w:val="008F761C"/>
    <w:rsid w:val="008F7A85"/>
    <w:rsid w:val="009002DD"/>
    <w:rsid w:val="0090073D"/>
    <w:rsid w:val="009007AF"/>
    <w:rsid w:val="009009D9"/>
    <w:rsid w:val="00900C86"/>
    <w:rsid w:val="0090122E"/>
    <w:rsid w:val="00901549"/>
    <w:rsid w:val="0090193A"/>
    <w:rsid w:val="00902296"/>
    <w:rsid w:val="00902432"/>
    <w:rsid w:val="009026EF"/>
    <w:rsid w:val="00902CD0"/>
    <w:rsid w:val="00902D40"/>
    <w:rsid w:val="0090345A"/>
    <w:rsid w:val="0090347B"/>
    <w:rsid w:val="00903943"/>
    <w:rsid w:val="009039AF"/>
    <w:rsid w:val="00903A52"/>
    <w:rsid w:val="00903F79"/>
    <w:rsid w:val="00904D8F"/>
    <w:rsid w:val="0090562B"/>
    <w:rsid w:val="00905B28"/>
    <w:rsid w:val="00905FBA"/>
    <w:rsid w:val="00905FBF"/>
    <w:rsid w:val="00906639"/>
    <w:rsid w:val="00906753"/>
    <w:rsid w:val="00906A77"/>
    <w:rsid w:val="00907961"/>
    <w:rsid w:val="00907AAD"/>
    <w:rsid w:val="00907D27"/>
    <w:rsid w:val="00907D83"/>
    <w:rsid w:val="0091048D"/>
    <w:rsid w:val="009109EA"/>
    <w:rsid w:val="0091111C"/>
    <w:rsid w:val="00911280"/>
    <w:rsid w:val="00911BA6"/>
    <w:rsid w:val="00911E52"/>
    <w:rsid w:val="00911FDD"/>
    <w:rsid w:val="00912118"/>
    <w:rsid w:val="009121E5"/>
    <w:rsid w:val="009135A1"/>
    <w:rsid w:val="0091391B"/>
    <w:rsid w:val="00913C26"/>
    <w:rsid w:val="00913EA6"/>
    <w:rsid w:val="00914E9F"/>
    <w:rsid w:val="0091502F"/>
    <w:rsid w:val="009154E3"/>
    <w:rsid w:val="00915901"/>
    <w:rsid w:val="00915F4C"/>
    <w:rsid w:val="00916467"/>
    <w:rsid w:val="0091668B"/>
    <w:rsid w:val="00916803"/>
    <w:rsid w:val="0091688D"/>
    <w:rsid w:val="00916E7D"/>
    <w:rsid w:val="00916EE1"/>
    <w:rsid w:val="009177BC"/>
    <w:rsid w:val="00917D2E"/>
    <w:rsid w:val="00917D3E"/>
    <w:rsid w:val="00917FEC"/>
    <w:rsid w:val="0092005E"/>
    <w:rsid w:val="00920578"/>
    <w:rsid w:val="00920AFA"/>
    <w:rsid w:val="00920BCD"/>
    <w:rsid w:val="009210F2"/>
    <w:rsid w:val="009212B0"/>
    <w:rsid w:val="00921BD7"/>
    <w:rsid w:val="00921FDC"/>
    <w:rsid w:val="00922163"/>
    <w:rsid w:val="00922811"/>
    <w:rsid w:val="00922822"/>
    <w:rsid w:val="00922D16"/>
    <w:rsid w:val="009231E2"/>
    <w:rsid w:val="009232CA"/>
    <w:rsid w:val="00923347"/>
    <w:rsid w:val="00923650"/>
    <w:rsid w:val="009237B9"/>
    <w:rsid w:val="00923811"/>
    <w:rsid w:val="00923A82"/>
    <w:rsid w:val="009240A0"/>
    <w:rsid w:val="009240E8"/>
    <w:rsid w:val="009244FF"/>
    <w:rsid w:val="0092482B"/>
    <w:rsid w:val="00924C21"/>
    <w:rsid w:val="00925B59"/>
    <w:rsid w:val="0092683E"/>
    <w:rsid w:val="009272AA"/>
    <w:rsid w:val="009276F5"/>
    <w:rsid w:val="00927B16"/>
    <w:rsid w:val="00927FE4"/>
    <w:rsid w:val="0093001D"/>
    <w:rsid w:val="00930672"/>
    <w:rsid w:val="00930CD2"/>
    <w:rsid w:val="00932122"/>
    <w:rsid w:val="009322E7"/>
    <w:rsid w:val="0093233D"/>
    <w:rsid w:val="009327B5"/>
    <w:rsid w:val="00932DDD"/>
    <w:rsid w:val="00932E92"/>
    <w:rsid w:val="00933354"/>
    <w:rsid w:val="0093386F"/>
    <w:rsid w:val="009339A6"/>
    <w:rsid w:val="00933A13"/>
    <w:rsid w:val="00933A4A"/>
    <w:rsid w:val="0093402D"/>
    <w:rsid w:val="0093405B"/>
    <w:rsid w:val="009340F6"/>
    <w:rsid w:val="00934663"/>
    <w:rsid w:val="00934E07"/>
    <w:rsid w:val="00935237"/>
    <w:rsid w:val="00935648"/>
    <w:rsid w:val="00935872"/>
    <w:rsid w:val="009359EC"/>
    <w:rsid w:val="00935D0F"/>
    <w:rsid w:val="00935F4F"/>
    <w:rsid w:val="0093661A"/>
    <w:rsid w:val="00936807"/>
    <w:rsid w:val="00936830"/>
    <w:rsid w:val="009371A3"/>
    <w:rsid w:val="009374B9"/>
    <w:rsid w:val="00937C65"/>
    <w:rsid w:val="00940185"/>
    <w:rsid w:val="009403D6"/>
    <w:rsid w:val="00940875"/>
    <w:rsid w:val="00940DDB"/>
    <w:rsid w:val="00941393"/>
    <w:rsid w:val="009418D3"/>
    <w:rsid w:val="009419DC"/>
    <w:rsid w:val="00941A9A"/>
    <w:rsid w:val="009420C4"/>
    <w:rsid w:val="00942192"/>
    <w:rsid w:val="009429EA"/>
    <w:rsid w:val="009429EF"/>
    <w:rsid w:val="00942A85"/>
    <w:rsid w:val="00942BB8"/>
    <w:rsid w:val="009433E6"/>
    <w:rsid w:val="00943A1C"/>
    <w:rsid w:val="0094451F"/>
    <w:rsid w:val="009445C8"/>
    <w:rsid w:val="00944939"/>
    <w:rsid w:val="0094494A"/>
    <w:rsid w:val="00944985"/>
    <w:rsid w:val="00944C28"/>
    <w:rsid w:val="00944CF8"/>
    <w:rsid w:val="00944D76"/>
    <w:rsid w:val="009450CB"/>
    <w:rsid w:val="0094523B"/>
    <w:rsid w:val="00945ABE"/>
    <w:rsid w:val="00946878"/>
    <w:rsid w:val="00946E5A"/>
    <w:rsid w:val="009477FB"/>
    <w:rsid w:val="009479AB"/>
    <w:rsid w:val="00950CA0"/>
    <w:rsid w:val="009510C4"/>
    <w:rsid w:val="009510FF"/>
    <w:rsid w:val="009511A2"/>
    <w:rsid w:val="00951307"/>
    <w:rsid w:val="009513D6"/>
    <w:rsid w:val="00951878"/>
    <w:rsid w:val="009522A5"/>
    <w:rsid w:val="0095268C"/>
    <w:rsid w:val="00953179"/>
    <w:rsid w:val="00953677"/>
    <w:rsid w:val="009536CD"/>
    <w:rsid w:val="00953775"/>
    <w:rsid w:val="00953FC7"/>
    <w:rsid w:val="00954BA7"/>
    <w:rsid w:val="00954D14"/>
    <w:rsid w:val="00955165"/>
    <w:rsid w:val="009559B1"/>
    <w:rsid w:val="00955A87"/>
    <w:rsid w:val="00955BBD"/>
    <w:rsid w:val="009561FD"/>
    <w:rsid w:val="0095632C"/>
    <w:rsid w:val="009569AE"/>
    <w:rsid w:val="009570F7"/>
    <w:rsid w:val="00957105"/>
    <w:rsid w:val="00957F5F"/>
    <w:rsid w:val="00960502"/>
    <w:rsid w:val="009609FC"/>
    <w:rsid w:val="00960B42"/>
    <w:rsid w:val="009619A1"/>
    <w:rsid w:val="009621FB"/>
    <w:rsid w:val="00962490"/>
    <w:rsid w:val="009626A4"/>
    <w:rsid w:val="00962CF6"/>
    <w:rsid w:val="00963CF3"/>
    <w:rsid w:val="00963DBD"/>
    <w:rsid w:val="009641A8"/>
    <w:rsid w:val="009641C1"/>
    <w:rsid w:val="00964253"/>
    <w:rsid w:val="009643C6"/>
    <w:rsid w:val="00964933"/>
    <w:rsid w:val="00964951"/>
    <w:rsid w:val="00964955"/>
    <w:rsid w:val="00964A82"/>
    <w:rsid w:val="00964C7D"/>
    <w:rsid w:val="00965145"/>
    <w:rsid w:val="00965884"/>
    <w:rsid w:val="00965886"/>
    <w:rsid w:val="00965C1A"/>
    <w:rsid w:val="00965EA2"/>
    <w:rsid w:val="009667D3"/>
    <w:rsid w:val="009669A4"/>
    <w:rsid w:val="00966B47"/>
    <w:rsid w:val="00966D6E"/>
    <w:rsid w:val="00967145"/>
    <w:rsid w:val="009671F0"/>
    <w:rsid w:val="0096737F"/>
    <w:rsid w:val="009675A8"/>
    <w:rsid w:val="009676E6"/>
    <w:rsid w:val="00970156"/>
    <w:rsid w:val="00970743"/>
    <w:rsid w:val="009707E4"/>
    <w:rsid w:val="0097085E"/>
    <w:rsid w:val="009708EB"/>
    <w:rsid w:val="00971876"/>
    <w:rsid w:val="009719E1"/>
    <w:rsid w:val="00971D1B"/>
    <w:rsid w:val="00971D97"/>
    <w:rsid w:val="00971F87"/>
    <w:rsid w:val="00972484"/>
    <w:rsid w:val="00972495"/>
    <w:rsid w:val="00972611"/>
    <w:rsid w:val="00972906"/>
    <w:rsid w:val="00972D15"/>
    <w:rsid w:val="00972EB4"/>
    <w:rsid w:val="00972F15"/>
    <w:rsid w:val="0097321A"/>
    <w:rsid w:val="00973618"/>
    <w:rsid w:val="009738F2"/>
    <w:rsid w:val="00973AA7"/>
    <w:rsid w:val="00973E33"/>
    <w:rsid w:val="00974044"/>
    <w:rsid w:val="009747B4"/>
    <w:rsid w:val="00974B51"/>
    <w:rsid w:val="00974CA0"/>
    <w:rsid w:val="009756B1"/>
    <w:rsid w:val="0097583C"/>
    <w:rsid w:val="00975B82"/>
    <w:rsid w:val="009768E2"/>
    <w:rsid w:val="00976F37"/>
    <w:rsid w:val="0097795E"/>
    <w:rsid w:val="009800FA"/>
    <w:rsid w:val="00980BBD"/>
    <w:rsid w:val="00981101"/>
    <w:rsid w:val="009812C1"/>
    <w:rsid w:val="00981BAB"/>
    <w:rsid w:val="00981CA1"/>
    <w:rsid w:val="00981F7A"/>
    <w:rsid w:val="009822ED"/>
    <w:rsid w:val="0098261C"/>
    <w:rsid w:val="00982E47"/>
    <w:rsid w:val="00982F13"/>
    <w:rsid w:val="00982F9F"/>
    <w:rsid w:val="0098365A"/>
    <w:rsid w:val="00983706"/>
    <w:rsid w:val="00983CCC"/>
    <w:rsid w:val="00983EC7"/>
    <w:rsid w:val="009840B9"/>
    <w:rsid w:val="009845B1"/>
    <w:rsid w:val="009845D9"/>
    <w:rsid w:val="0098488B"/>
    <w:rsid w:val="009849D6"/>
    <w:rsid w:val="00984C61"/>
    <w:rsid w:val="00984FA8"/>
    <w:rsid w:val="0098505D"/>
    <w:rsid w:val="0098538F"/>
    <w:rsid w:val="00985734"/>
    <w:rsid w:val="0098640B"/>
    <w:rsid w:val="009869AB"/>
    <w:rsid w:val="00986E59"/>
    <w:rsid w:val="00987049"/>
    <w:rsid w:val="0098742F"/>
    <w:rsid w:val="009874FC"/>
    <w:rsid w:val="00987D30"/>
    <w:rsid w:val="00987E88"/>
    <w:rsid w:val="00987F1D"/>
    <w:rsid w:val="009901DB"/>
    <w:rsid w:val="009902E8"/>
    <w:rsid w:val="009903CF"/>
    <w:rsid w:val="00990474"/>
    <w:rsid w:val="0099062C"/>
    <w:rsid w:val="00990D0D"/>
    <w:rsid w:val="00990D63"/>
    <w:rsid w:val="00990EE5"/>
    <w:rsid w:val="009910AD"/>
    <w:rsid w:val="0099143B"/>
    <w:rsid w:val="00991536"/>
    <w:rsid w:val="00991BE9"/>
    <w:rsid w:val="00991D3C"/>
    <w:rsid w:val="00992670"/>
    <w:rsid w:val="00992ABB"/>
    <w:rsid w:val="00992FB5"/>
    <w:rsid w:val="00993717"/>
    <w:rsid w:val="00993C5A"/>
    <w:rsid w:val="009940EA"/>
    <w:rsid w:val="00994306"/>
    <w:rsid w:val="009944E0"/>
    <w:rsid w:val="00994DAF"/>
    <w:rsid w:val="0099539F"/>
    <w:rsid w:val="0099563A"/>
    <w:rsid w:val="009961DA"/>
    <w:rsid w:val="009961F3"/>
    <w:rsid w:val="0099623F"/>
    <w:rsid w:val="00996352"/>
    <w:rsid w:val="00997B4F"/>
    <w:rsid w:val="00997DB4"/>
    <w:rsid w:val="009A09D7"/>
    <w:rsid w:val="009A0C7F"/>
    <w:rsid w:val="009A17DC"/>
    <w:rsid w:val="009A1B46"/>
    <w:rsid w:val="009A231B"/>
    <w:rsid w:val="009A24FE"/>
    <w:rsid w:val="009A2962"/>
    <w:rsid w:val="009A2DC3"/>
    <w:rsid w:val="009A36EC"/>
    <w:rsid w:val="009A3CA2"/>
    <w:rsid w:val="009A3D7B"/>
    <w:rsid w:val="009A4124"/>
    <w:rsid w:val="009A4488"/>
    <w:rsid w:val="009A4652"/>
    <w:rsid w:val="009A46F8"/>
    <w:rsid w:val="009A49AB"/>
    <w:rsid w:val="009A49E4"/>
    <w:rsid w:val="009A4AAA"/>
    <w:rsid w:val="009A5103"/>
    <w:rsid w:val="009A5373"/>
    <w:rsid w:val="009A58DD"/>
    <w:rsid w:val="009A5A15"/>
    <w:rsid w:val="009A5BC9"/>
    <w:rsid w:val="009A5CD0"/>
    <w:rsid w:val="009A5D01"/>
    <w:rsid w:val="009A5EC2"/>
    <w:rsid w:val="009A5F7A"/>
    <w:rsid w:val="009A5F7E"/>
    <w:rsid w:val="009A63C6"/>
    <w:rsid w:val="009A660B"/>
    <w:rsid w:val="009A6C50"/>
    <w:rsid w:val="009A6F4D"/>
    <w:rsid w:val="009A72A6"/>
    <w:rsid w:val="009A75C2"/>
    <w:rsid w:val="009A7A0D"/>
    <w:rsid w:val="009A7ACA"/>
    <w:rsid w:val="009A7DC4"/>
    <w:rsid w:val="009B033E"/>
    <w:rsid w:val="009B042A"/>
    <w:rsid w:val="009B0511"/>
    <w:rsid w:val="009B05FF"/>
    <w:rsid w:val="009B079A"/>
    <w:rsid w:val="009B082D"/>
    <w:rsid w:val="009B0AFD"/>
    <w:rsid w:val="009B1835"/>
    <w:rsid w:val="009B22F8"/>
    <w:rsid w:val="009B2FBB"/>
    <w:rsid w:val="009B3171"/>
    <w:rsid w:val="009B31A6"/>
    <w:rsid w:val="009B322A"/>
    <w:rsid w:val="009B3326"/>
    <w:rsid w:val="009B375B"/>
    <w:rsid w:val="009B3D6C"/>
    <w:rsid w:val="009B3F21"/>
    <w:rsid w:val="009B4348"/>
    <w:rsid w:val="009B436D"/>
    <w:rsid w:val="009B4AB2"/>
    <w:rsid w:val="009B54EC"/>
    <w:rsid w:val="009B55DE"/>
    <w:rsid w:val="009B5F7E"/>
    <w:rsid w:val="009B62C9"/>
    <w:rsid w:val="009B6F7C"/>
    <w:rsid w:val="009C01BA"/>
    <w:rsid w:val="009C020B"/>
    <w:rsid w:val="009C0608"/>
    <w:rsid w:val="009C07CC"/>
    <w:rsid w:val="009C0F28"/>
    <w:rsid w:val="009C1201"/>
    <w:rsid w:val="009C16CE"/>
    <w:rsid w:val="009C184A"/>
    <w:rsid w:val="009C1A59"/>
    <w:rsid w:val="009C1B4E"/>
    <w:rsid w:val="009C1D45"/>
    <w:rsid w:val="009C22DF"/>
    <w:rsid w:val="009C2CFB"/>
    <w:rsid w:val="009C2E7C"/>
    <w:rsid w:val="009C38B4"/>
    <w:rsid w:val="009C3DDF"/>
    <w:rsid w:val="009C4351"/>
    <w:rsid w:val="009C43C9"/>
    <w:rsid w:val="009C478C"/>
    <w:rsid w:val="009C47EE"/>
    <w:rsid w:val="009C4EC0"/>
    <w:rsid w:val="009C5161"/>
    <w:rsid w:val="009C532E"/>
    <w:rsid w:val="009C542D"/>
    <w:rsid w:val="009C560C"/>
    <w:rsid w:val="009C5707"/>
    <w:rsid w:val="009C5B22"/>
    <w:rsid w:val="009C6D31"/>
    <w:rsid w:val="009C70C1"/>
    <w:rsid w:val="009C7337"/>
    <w:rsid w:val="009C7732"/>
    <w:rsid w:val="009C78A8"/>
    <w:rsid w:val="009C7A22"/>
    <w:rsid w:val="009C7B8E"/>
    <w:rsid w:val="009D0417"/>
    <w:rsid w:val="009D0528"/>
    <w:rsid w:val="009D0FA7"/>
    <w:rsid w:val="009D0FC5"/>
    <w:rsid w:val="009D1166"/>
    <w:rsid w:val="009D1246"/>
    <w:rsid w:val="009D13A5"/>
    <w:rsid w:val="009D13B3"/>
    <w:rsid w:val="009D13EE"/>
    <w:rsid w:val="009D1726"/>
    <w:rsid w:val="009D1746"/>
    <w:rsid w:val="009D1A28"/>
    <w:rsid w:val="009D229E"/>
    <w:rsid w:val="009D2331"/>
    <w:rsid w:val="009D28B2"/>
    <w:rsid w:val="009D2CB4"/>
    <w:rsid w:val="009D2D1A"/>
    <w:rsid w:val="009D2E0F"/>
    <w:rsid w:val="009D2EAA"/>
    <w:rsid w:val="009D360F"/>
    <w:rsid w:val="009D39FD"/>
    <w:rsid w:val="009D41E7"/>
    <w:rsid w:val="009D45D3"/>
    <w:rsid w:val="009D48BB"/>
    <w:rsid w:val="009D4CCB"/>
    <w:rsid w:val="009D4E87"/>
    <w:rsid w:val="009D5312"/>
    <w:rsid w:val="009D58CE"/>
    <w:rsid w:val="009D5950"/>
    <w:rsid w:val="009D5C85"/>
    <w:rsid w:val="009D5CF3"/>
    <w:rsid w:val="009D5E51"/>
    <w:rsid w:val="009D5EBE"/>
    <w:rsid w:val="009D600D"/>
    <w:rsid w:val="009D6258"/>
    <w:rsid w:val="009D69C7"/>
    <w:rsid w:val="009D6C1F"/>
    <w:rsid w:val="009D7308"/>
    <w:rsid w:val="009D7480"/>
    <w:rsid w:val="009D7514"/>
    <w:rsid w:val="009D77F6"/>
    <w:rsid w:val="009E013F"/>
    <w:rsid w:val="009E039B"/>
    <w:rsid w:val="009E0934"/>
    <w:rsid w:val="009E0ECC"/>
    <w:rsid w:val="009E198B"/>
    <w:rsid w:val="009E2086"/>
    <w:rsid w:val="009E2676"/>
    <w:rsid w:val="009E27DB"/>
    <w:rsid w:val="009E29C2"/>
    <w:rsid w:val="009E2C2A"/>
    <w:rsid w:val="009E2CBC"/>
    <w:rsid w:val="009E2EB8"/>
    <w:rsid w:val="009E32B9"/>
    <w:rsid w:val="009E333D"/>
    <w:rsid w:val="009E339D"/>
    <w:rsid w:val="009E3706"/>
    <w:rsid w:val="009E3AF8"/>
    <w:rsid w:val="009E43C6"/>
    <w:rsid w:val="009E4413"/>
    <w:rsid w:val="009E4825"/>
    <w:rsid w:val="009E4953"/>
    <w:rsid w:val="009E4F46"/>
    <w:rsid w:val="009E543E"/>
    <w:rsid w:val="009E5677"/>
    <w:rsid w:val="009E5989"/>
    <w:rsid w:val="009E5B1F"/>
    <w:rsid w:val="009E5B88"/>
    <w:rsid w:val="009E5BBD"/>
    <w:rsid w:val="009E5E0C"/>
    <w:rsid w:val="009E5F6B"/>
    <w:rsid w:val="009E5FC7"/>
    <w:rsid w:val="009E6104"/>
    <w:rsid w:val="009E6109"/>
    <w:rsid w:val="009E62BD"/>
    <w:rsid w:val="009E6B0C"/>
    <w:rsid w:val="009E6DE7"/>
    <w:rsid w:val="009E7D8F"/>
    <w:rsid w:val="009E7EC8"/>
    <w:rsid w:val="009E7F0F"/>
    <w:rsid w:val="009F01EA"/>
    <w:rsid w:val="009F0285"/>
    <w:rsid w:val="009F0438"/>
    <w:rsid w:val="009F0626"/>
    <w:rsid w:val="009F0857"/>
    <w:rsid w:val="009F0B8D"/>
    <w:rsid w:val="009F0DF2"/>
    <w:rsid w:val="009F14D8"/>
    <w:rsid w:val="009F1920"/>
    <w:rsid w:val="009F2093"/>
    <w:rsid w:val="009F22D4"/>
    <w:rsid w:val="009F27FD"/>
    <w:rsid w:val="009F2986"/>
    <w:rsid w:val="009F2E65"/>
    <w:rsid w:val="009F502F"/>
    <w:rsid w:val="009F504E"/>
    <w:rsid w:val="009F534E"/>
    <w:rsid w:val="009F5820"/>
    <w:rsid w:val="009F5FD3"/>
    <w:rsid w:val="009F6E11"/>
    <w:rsid w:val="009F71A7"/>
    <w:rsid w:val="009F797F"/>
    <w:rsid w:val="009F7F21"/>
    <w:rsid w:val="00A0090D"/>
    <w:rsid w:val="00A0195D"/>
    <w:rsid w:val="00A02002"/>
    <w:rsid w:val="00A021C5"/>
    <w:rsid w:val="00A02381"/>
    <w:rsid w:val="00A027FB"/>
    <w:rsid w:val="00A02859"/>
    <w:rsid w:val="00A029DB"/>
    <w:rsid w:val="00A03026"/>
    <w:rsid w:val="00A03125"/>
    <w:rsid w:val="00A037AD"/>
    <w:rsid w:val="00A03C5D"/>
    <w:rsid w:val="00A03D2B"/>
    <w:rsid w:val="00A03E61"/>
    <w:rsid w:val="00A03FB7"/>
    <w:rsid w:val="00A0414D"/>
    <w:rsid w:val="00A041C9"/>
    <w:rsid w:val="00A04450"/>
    <w:rsid w:val="00A045AC"/>
    <w:rsid w:val="00A04676"/>
    <w:rsid w:val="00A04702"/>
    <w:rsid w:val="00A04934"/>
    <w:rsid w:val="00A04BE8"/>
    <w:rsid w:val="00A050CB"/>
    <w:rsid w:val="00A05532"/>
    <w:rsid w:val="00A05674"/>
    <w:rsid w:val="00A05A25"/>
    <w:rsid w:val="00A05F21"/>
    <w:rsid w:val="00A06042"/>
    <w:rsid w:val="00A06462"/>
    <w:rsid w:val="00A06F19"/>
    <w:rsid w:val="00A070AC"/>
    <w:rsid w:val="00A0745A"/>
    <w:rsid w:val="00A074BC"/>
    <w:rsid w:val="00A07AAD"/>
    <w:rsid w:val="00A07C7E"/>
    <w:rsid w:val="00A07DB8"/>
    <w:rsid w:val="00A07FE1"/>
    <w:rsid w:val="00A1007E"/>
    <w:rsid w:val="00A10537"/>
    <w:rsid w:val="00A1057C"/>
    <w:rsid w:val="00A1185F"/>
    <w:rsid w:val="00A11DB3"/>
    <w:rsid w:val="00A11EB7"/>
    <w:rsid w:val="00A11FFF"/>
    <w:rsid w:val="00A12194"/>
    <w:rsid w:val="00A12243"/>
    <w:rsid w:val="00A126CC"/>
    <w:rsid w:val="00A12778"/>
    <w:rsid w:val="00A13013"/>
    <w:rsid w:val="00A13488"/>
    <w:rsid w:val="00A144DA"/>
    <w:rsid w:val="00A1488D"/>
    <w:rsid w:val="00A14A55"/>
    <w:rsid w:val="00A14BBB"/>
    <w:rsid w:val="00A14C2A"/>
    <w:rsid w:val="00A1504D"/>
    <w:rsid w:val="00A15251"/>
    <w:rsid w:val="00A15CA2"/>
    <w:rsid w:val="00A15E8F"/>
    <w:rsid w:val="00A16045"/>
    <w:rsid w:val="00A1617E"/>
    <w:rsid w:val="00A16249"/>
    <w:rsid w:val="00A16BEC"/>
    <w:rsid w:val="00A16C12"/>
    <w:rsid w:val="00A16EE6"/>
    <w:rsid w:val="00A172C2"/>
    <w:rsid w:val="00A172E6"/>
    <w:rsid w:val="00A1763D"/>
    <w:rsid w:val="00A17D3D"/>
    <w:rsid w:val="00A17D7D"/>
    <w:rsid w:val="00A17EDF"/>
    <w:rsid w:val="00A20854"/>
    <w:rsid w:val="00A20CF0"/>
    <w:rsid w:val="00A20F44"/>
    <w:rsid w:val="00A2122D"/>
    <w:rsid w:val="00A212D9"/>
    <w:rsid w:val="00A22BEB"/>
    <w:rsid w:val="00A22C40"/>
    <w:rsid w:val="00A23232"/>
    <w:rsid w:val="00A23363"/>
    <w:rsid w:val="00A234C7"/>
    <w:rsid w:val="00A24F42"/>
    <w:rsid w:val="00A253BC"/>
    <w:rsid w:val="00A25CE8"/>
    <w:rsid w:val="00A25EA3"/>
    <w:rsid w:val="00A25F3C"/>
    <w:rsid w:val="00A25FA9"/>
    <w:rsid w:val="00A25FE8"/>
    <w:rsid w:val="00A26275"/>
    <w:rsid w:val="00A262E1"/>
    <w:rsid w:val="00A26BCD"/>
    <w:rsid w:val="00A26F65"/>
    <w:rsid w:val="00A27CB5"/>
    <w:rsid w:val="00A301CD"/>
    <w:rsid w:val="00A304D2"/>
    <w:rsid w:val="00A30A2F"/>
    <w:rsid w:val="00A30C7A"/>
    <w:rsid w:val="00A30E09"/>
    <w:rsid w:val="00A31F8E"/>
    <w:rsid w:val="00A3211F"/>
    <w:rsid w:val="00A3236F"/>
    <w:rsid w:val="00A32653"/>
    <w:rsid w:val="00A32EA5"/>
    <w:rsid w:val="00A331CA"/>
    <w:rsid w:val="00A33280"/>
    <w:rsid w:val="00A33355"/>
    <w:rsid w:val="00A33538"/>
    <w:rsid w:val="00A33E66"/>
    <w:rsid w:val="00A33E9B"/>
    <w:rsid w:val="00A340D2"/>
    <w:rsid w:val="00A34B3C"/>
    <w:rsid w:val="00A357A1"/>
    <w:rsid w:val="00A35DEF"/>
    <w:rsid w:val="00A35E49"/>
    <w:rsid w:val="00A35FF8"/>
    <w:rsid w:val="00A3639B"/>
    <w:rsid w:val="00A365F0"/>
    <w:rsid w:val="00A371A2"/>
    <w:rsid w:val="00A373B2"/>
    <w:rsid w:val="00A37AD1"/>
    <w:rsid w:val="00A37B0C"/>
    <w:rsid w:val="00A40059"/>
    <w:rsid w:val="00A408EC"/>
    <w:rsid w:val="00A409B2"/>
    <w:rsid w:val="00A40CAF"/>
    <w:rsid w:val="00A4149A"/>
    <w:rsid w:val="00A4167F"/>
    <w:rsid w:val="00A416D3"/>
    <w:rsid w:val="00A41B0E"/>
    <w:rsid w:val="00A41C21"/>
    <w:rsid w:val="00A41F69"/>
    <w:rsid w:val="00A4231D"/>
    <w:rsid w:val="00A425CA"/>
    <w:rsid w:val="00A4294E"/>
    <w:rsid w:val="00A42B06"/>
    <w:rsid w:val="00A42C6A"/>
    <w:rsid w:val="00A42F31"/>
    <w:rsid w:val="00A43323"/>
    <w:rsid w:val="00A43C5E"/>
    <w:rsid w:val="00A4416E"/>
    <w:rsid w:val="00A4479B"/>
    <w:rsid w:val="00A453EA"/>
    <w:rsid w:val="00A455E9"/>
    <w:rsid w:val="00A45695"/>
    <w:rsid w:val="00A456F8"/>
    <w:rsid w:val="00A4579D"/>
    <w:rsid w:val="00A45B95"/>
    <w:rsid w:val="00A45C5C"/>
    <w:rsid w:val="00A4616A"/>
    <w:rsid w:val="00A461F7"/>
    <w:rsid w:val="00A46230"/>
    <w:rsid w:val="00A46BEF"/>
    <w:rsid w:val="00A46C69"/>
    <w:rsid w:val="00A46D2D"/>
    <w:rsid w:val="00A475E6"/>
    <w:rsid w:val="00A4767F"/>
    <w:rsid w:val="00A476A3"/>
    <w:rsid w:val="00A47819"/>
    <w:rsid w:val="00A47E06"/>
    <w:rsid w:val="00A50394"/>
    <w:rsid w:val="00A5062B"/>
    <w:rsid w:val="00A50A2D"/>
    <w:rsid w:val="00A50C87"/>
    <w:rsid w:val="00A50D21"/>
    <w:rsid w:val="00A50E9D"/>
    <w:rsid w:val="00A50EC5"/>
    <w:rsid w:val="00A50FA5"/>
    <w:rsid w:val="00A5113D"/>
    <w:rsid w:val="00A51227"/>
    <w:rsid w:val="00A51312"/>
    <w:rsid w:val="00A51423"/>
    <w:rsid w:val="00A515ED"/>
    <w:rsid w:val="00A5204F"/>
    <w:rsid w:val="00A521EC"/>
    <w:rsid w:val="00A52480"/>
    <w:rsid w:val="00A5268A"/>
    <w:rsid w:val="00A5270A"/>
    <w:rsid w:val="00A52AA6"/>
    <w:rsid w:val="00A52F60"/>
    <w:rsid w:val="00A52F75"/>
    <w:rsid w:val="00A534AC"/>
    <w:rsid w:val="00A53738"/>
    <w:rsid w:val="00A539A3"/>
    <w:rsid w:val="00A53BC9"/>
    <w:rsid w:val="00A53CFA"/>
    <w:rsid w:val="00A53D6A"/>
    <w:rsid w:val="00A54CA2"/>
    <w:rsid w:val="00A55095"/>
    <w:rsid w:val="00A551BF"/>
    <w:rsid w:val="00A556FC"/>
    <w:rsid w:val="00A55946"/>
    <w:rsid w:val="00A561CD"/>
    <w:rsid w:val="00A563AB"/>
    <w:rsid w:val="00A564DE"/>
    <w:rsid w:val="00A5731C"/>
    <w:rsid w:val="00A577D7"/>
    <w:rsid w:val="00A57BF7"/>
    <w:rsid w:val="00A57F1D"/>
    <w:rsid w:val="00A57FE2"/>
    <w:rsid w:val="00A60115"/>
    <w:rsid w:val="00A601D8"/>
    <w:rsid w:val="00A60917"/>
    <w:rsid w:val="00A60DE5"/>
    <w:rsid w:val="00A61ACB"/>
    <w:rsid w:val="00A63065"/>
    <w:rsid w:val="00A63914"/>
    <w:rsid w:val="00A63A42"/>
    <w:rsid w:val="00A63FC5"/>
    <w:rsid w:val="00A64232"/>
    <w:rsid w:val="00A64399"/>
    <w:rsid w:val="00A6447C"/>
    <w:rsid w:val="00A644A6"/>
    <w:rsid w:val="00A6457D"/>
    <w:rsid w:val="00A6515F"/>
    <w:rsid w:val="00A65557"/>
    <w:rsid w:val="00A658E2"/>
    <w:rsid w:val="00A65E97"/>
    <w:rsid w:val="00A66BF5"/>
    <w:rsid w:val="00A66C76"/>
    <w:rsid w:val="00A675D1"/>
    <w:rsid w:val="00A67989"/>
    <w:rsid w:val="00A67B09"/>
    <w:rsid w:val="00A67CA2"/>
    <w:rsid w:val="00A67D88"/>
    <w:rsid w:val="00A7004F"/>
    <w:rsid w:val="00A7019F"/>
    <w:rsid w:val="00A7088E"/>
    <w:rsid w:val="00A708CA"/>
    <w:rsid w:val="00A71052"/>
    <w:rsid w:val="00A711AB"/>
    <w:rsid w:val="00A7173B"/>
    <w:rsid w:val="00A71927"/>
    <w:rsid w:val="00A71C45"/>
    <w:rsid w:val="00A72525"/>
    <w:rsid w:val="00A72694"/>
    <w:rsid w:val="00A72CCE"/>
    <w:rsid w:val="00A72DED"/>
    <w:rsid w:val="00A73375"/>
    <w:rsid w:val="00A73BF4"/>
    <w:rsid w:val="00A740CA"/>
    <w:rsid w:val="00A749B2"/>
    <w:rsid w:val="00A749C9"/>
    <w:rsid w:val="00A74E59"/>
    <w:rsid w:val="00A7519E"/>
    <w:rsid w:val="00A769DE"/>
    <w:rsid w:val="00A76C50"/>
    <w:rsid w:val="00A76CFE"/>
    <w:rsid w:val="00A76F85"/>
    <w:rsid w:val="00A76FE4"/>
    <w:rsid w:val="00A773CE"/>
    <w:rsid w:val="00A775FD"/>
    <w:rsid w:val="00A77899"/>
    <w:rsid w:val="00A77AFC"/>
    <w:rsid w:val="00A77EB2"/>
    <w:rsid w:val="00A81134"/>
    <w:rsid w:val="00A81AC0"/>
    <w:rsid w:val="00A81EB5"/>
    <w:rsid w:val="00A821F9"/>
    <w:rsid w:val="00A8271C"/>
    <w:rsid w:val="00A82B5F"/>
    <w:rsid w:val="00A82ECB"/>
    <w:rsid w:val="00A82FA9"/>
    <w:rsid w:val="00A83021"/>
    <w:rsid w:val="00A833E6"/>
    <w:rsid w:val="00A835F8"/>
    <w:rsid w:val="00A83D19"/>
    <w:rsid w:val="00A83D73"/>
    <w:rsid w:val="00A842CC"/>
    <w:rsid w:val="00A8437E"/>
    <w:rsid w:val="00A846DB"/>
    <w:rsid w:val="00A84834"/>
    <w:rsid w:val="00A8579A"/>
    <w:rsid w:val="00A8668D"/>
    <w:rsid w:val="00A8670F"/>
    <w:rsid w:val="00A8687D"/>
    <w:rsid w:val="00A8696F"/>
    <w:rsid w:val="00A86D94"/>
    <w:rsid w:val="00A86ED3"/>
    <w:rsid w:val="00A8715C"/>
    <w:rsid w:val="00A87812"/>
    <w:rsid w:val="00A87AE6"/>
    <w:rsid w:val="00A9078C"/>
    <w:rsid w:val="00A90898"/>
    <w:rsid w:val="00A909F8"/>
    <w:rsid w:val="00A90B5B"/>
    <w:rsid w:val="00A90D08"/>
    <w:rsid w:val="00A91238"/>
    <w:rsid w:val="00A914AF"/>
    <w:rsid w:val="00A916B8"/>
    <w:rsid w:val="00A9171E"/>
    <w:rsid w:val="00A9241C"/>
    <w:rsid w:val="00A92ABD"/>
    <w:rsid w:val="00A931D9"/>
    <w:rsid w:val="00A93965"/>
    <w:rsid w:val="00A93A7C"/>
    <w:rsid w:val="00A93DAA"/>
    <w:rsid w:val="00A93F7F"/>
    <w:rsid w:val="00A941C1"/>
    <w:rsid w:val="00A942A3"/>
    <w:rsid w:val="00A94478"/>
    <w:rsid w:val="00A947CC"/>
    <w:rsid w:val="00A949BB"/>
    <w:rsid w:val="00A95046"/>
    <w:rsid w:val="00A95669"/>
    <w:rsid w:val="00A95A51"/>
    <w:rsid w:val="00A95B35"/>
    <w:rsid w:val="00A95B7C"/>
    <w:rsid w:val="00A965F9"/>
    <w:rsid w:val="00A9672B"/>
    <w:rsid w:val="00A96B5D"/>
    <w:rsid w:val="00A96E2F"/>
    <w:rsid w:val="00A97593"/>
    <w:rsid w:val="00A97830"/>
    <w:rsid w:val="00AA0020"/>
    <w:rsid w:val="00AA00B3"/>
    <w:rsid w:val="00AA013C"/>
    <w:rsid w:val="00AA046B"/>
    <w:rsid w:val="00AA055A"/>
    <w:rsid w:val="00AA07FD"/>
    <w:rsid w:val="00AA09BD"/>
    <w:rsid w:val="00AA0D47"/>
    <w:rsid w:val="00AA184E"/>
    <w:rsid w:val="00AA1889"/>
    <w:rsid w:val="00AA1E38"/>
    <w:rsid w:val="00AA20B6"/>
    <w:rsid w:val="00AA23BB"/>
    <w:rsid w:val="00AA297C"/>
    <w:rsid w:val="00AA2A7A"/>
    <w:rsid w:val="00AA2C39"/>
    <w:rsid w:val="00AA2E5E"/>
    <w:rsid w:val="00AA332F"/>
    <w:rsid w:val="00AA3DE0"/>
    <w:rsid w:val="00AA41A5"/>
    <w:rsid w:val="00AA41C2"/>
    <w:rsid w:val="00AA4411"/>
    <w:rsid w:val="00AA4C82"/>
    <w:rsid w:val="00AA4D34"/>
    <w:rsid w:val="00AA4FD5"/>
    <w:rsid w:val="00AA51E6"/>
    <w:rsid w:val="00AA54E7"/>
    <w:rsid w:val="00AA5869"/>
    <w:rsid w:val="00AA621B"/>
    <w:rsid w:val="00AA666E"/>
    <w:rsid w:val="00AA66E7"/>
    <w:rsid w:val="00AA6910"/>
    <w:rsid w:val="00AA6C2E"/>
    <w:rsid w:val="00AA6E08"/>
    <w:rsid w:val="00AA7525"/>
    <w:rsid w:val="00AA762B"/>
    <w:rsid w:val="00AA7790"/>
    <w:rsid w:val="00AA7A30"/>
    <w:rsid w:val="00AA7EA3"/>
    <w:rsid w:val="00AB0267"/>
    <w:rsid w:val="00AB0424"/>
    <w:rsid w:val="00AB075A"/>
    <w:rsid w:val="00AB0862"/>
    <w:rsid w:val="00AB0906"/>
    <w:rsid w:val="00AB0AF4"/>
    <w:rsid w:val="00AB1A1D"/>
    <w:rsid w:val="00AB1E2D"/>
    <w:rsid w:val="00AB1F10"/>
    <w:rsid w:val="00AB1F8A"/>
    <w:rsid w:val="00AB1FEB"/>
    <w:rsid w:val="00AB2211"/>
    <w:rsid w:val="00AB301F"/>
    <w:rsid w:val="00AB30AE"/>
    <w:rsid w:val="00AB30F6"/>
    <w:rsid w:val="00AB31CA"/>
    <w:rsid w:val="00AB463D"/>
    <w:rsid w:val="00AB4746"/>
    <w:rsid w:val="00AB49C3"/>
    <w:rsid w:val="00AB4F58"/>
    <w:rsid w:val="00AB514A"/>
    <w:rsid w:val="00AB5A75"/>
    <w:rsid w:val="00AB5C38"/>
    <w:rsid w:val="00AB5DD1"/>
    <w:rsid w:val="00AB62AB"/>
    <w:rsid w:val="00AB6CA1"/>
    <w:rsid w:val="00AB7D91"/>
    <w:rsid w:val="00AC0096"/>
    <w:rsid w:val="00AC09F7"/>
    <w:rsid w:val="00AC0F2F"/>
    <w:rsid w:val="00AC14FB"/>
    <w:rsid w:val="00AC1983"/>
    <w:rsid w:val="00AC1F1C"/>
    <w:rsid w:val="00AC2269"/>
    <w:rsid w:val="00AC236B"/>
    <w:rsid w:val="00AC25E8"/>
    <w:rsid w:val="00AC2F02"/>
    <w:rsid w:val="00AC2FE9"/>
    <w:rsid w:val="00AC30B8"/>
    <w:rsid w:val="00AC3235"/>
    <w:rsid w:val="00AC3523"/>
    <w:rsid w:val="00AC3AC2"/>
    <w:rsid w:val="00AC3BF3"/>
    <w:rsid w:val="00AC3D8D"/>
    <w:rsid w:val="00AC4152"/>
    <w:rsid w:val="00AC4630"/>
    <w:rsid w:val="00AC496C"/>
    <w:rsid w:val="00AC499C"/>
    <w:rsid w:val="00AC4A1C"/>
    <w:rsid w:val="00AC5245"/>
    <w:rsid w:val="00AC5724"/>
    <w:rsid w:val="00AC5957"/>
    <w:rsid w:val="00AC5F77"/>
    <w:rsid w:val="00AC6521"/>
    <w:rsid w:val="00AC6C1C"/>
    <w:rsid w:val="00AC6C20"/>
    <w:rsid w:val="00AC7740"/>
    <w:rsid w:val="00AC7D47"/>
    <w:rsid w:val="00AC7F67"/>
    <w:rsid w:val="00AD02B3"/>
    <w:rsid w:val="00AD04D2"/>
    <w:rsid w:val="00AD07BB"/>
    <w:rsid w:val="00AD0AA9"/>
    <w:rsid w:val="00AD0DAE"/>
    <w:rsid w:val="00AD104F"/>
    <w:rsid w:val="00AD1097"/>
    <w:rsid w:val="00AD18F6"/>
    <w:rsid w:val="00AD1A6F"/>
    <w:rsid w:val="00AD1BF1"/>
    <w:rsid w:val="00AD22EF"/>
    <w:rsid w:val="00AD3BFF"/>
    <w:rsid w:val="00AD3E0A"/>
    <w:rsid w:val="00AD3E86"/>
    <w:rsid w:val="00AD3F3F"/>
    <w:rsid w:val="00AD4A9D"/>
    <w:rsid w:val="00AD4EB7"/>
    <w:rsid w:val="00AD5111"/>
    <w:rsid w:val="00AD51FD"/>
    <w:rsid w:val="00AD59FF"/>
    <w:rsid w:val="00AD6172"/>
    <w:rsid w:val="00AD6214"/>
    <w:rsid w:val="00AD64B8"/>
    <w:rsid w:val="00AD672B"/>
    <w:rsid w:val="00AD67EA"/>
    <w:rsid w:val="00AD67FA"/>
    <w:rsid w:val="00AD69F9"/>
    <w:rsid w:val="00AD6A69"/>
    <w:rsid w:val="00AD6CEB"/>
    <w:rsid w:val="00AD6E53"/>
    <w:rsid w:val="00AD6E8B"/>
    <w:rsid w:val="00AD7603"/>
    <w:rsid w:val="00AD76A8"/>
    <w:rsid w:val="00AD7840"/>
    <w:rsid w:val="00AE0464"/>
    <w:rsid w:val="00AE072D"/>
    <w:rsid w:val="00AE0A48"/>
    <w:rsid w:val="00AE0B9D"/>
    <w:rsid w:val="00AE0C7B"/>
    <w:rsid w:val="00AE10E8"/>
    <w:rsid w:val="00AE11AF"/>
    <w:rsid w:val="00AE1425"/>
    <w:rsid w:val="00AE1923"/>
    <w:rsid w:val="00AE1AE1"/>
    <w:rsid w:val="00AE1F9E"/>
    <w:rsid w:val="00AE20F2"/>
    <w:rsid w:val="00AE221B"/>
    <w:rsid w:val="00AE22D4"/>
    <w:rsid w:val="00AE2769"/>
    <w:rsid w:val="00AE2A3D"/>
    <w:rsid w:val="00AE2BD1"/>
    <w:rsid w:val="00AE2D13"/>
    <w:rsid w:val="00AE38D1"/>
    <w:rsid w:val="00AE3AAF"/>
    <w:rsid w:val="00AE3F25"/>
    <w:rsid w:val="00AE46D7"/>
    <w:rsid w:val="00AE4908"/>
    <w:rsid w:val="00AE4B2E"/>
    <w:rsid w:val="00AE4B43"/>
    <w:rsid w:val="00AE4FE0"/>
    <w:rsid w:val="00AE5AE4"/>
    <w:rsid w:val="00AE6443"/>
    <w:rsid w:val="00AE6580"/>
    <w:rsid w:val="00AE68A5"/>
    <w:rsid w:val="00AE6933"/>
    <w:rsid w:val="00AE6B6A"/>
    <w:rsid w:val="00AE6C97"/>
    <w:rsid w:val="00AE7511"/>
    <w:rsid w:val="00AE7574"/>
    <w:rsid w:val="00AE777C"/>
    <w:rsid w:val="00AE7A8A"/>
    <w:rsid w:val="00AE7AC2"/>
    <w:rsid w:val="00AE7BE9"/>
    <w:rsid w:val="00AE7DAC"/>
    <w:rsid w:val="00AE7E00"/>
    <w:rsid w:val="00AF00A3"/>
    <w:rsid w:val="00AF0508"/>
    <w:rsid w:val="00AF1152"/>
    <w:rsid w:val="00AF1195"/>
    <w:rsid w:val="00AF137E"/>
    <w:rsid w:val="00AF198C"/>
    <w:rsid w:val="00AF1D73"/>
    <w:rsid w:val="00AF2002"/>
    <w:rsid w:val="00AF25D0"/>
    <w:rsid w:val="00AF2617"/>
    <w:rsid w:val="00AF2CF7"/>
    <w:rsid w:val="00AF2D58"/>
    <w:rsid w:val="00AF2DB0"/>
    <w:rsid w:val="00AF31B8"/>
    <w:rsid w:val="00AF3204"/>
    <w:rsid w:val="00AF34DC"/>
    <w:rsid w:val="00AF37D2"/>
    <w:rsid w:val="00AF3849"/>
    <w:rsid w:val="00AF3A57"/>
    <w:rsid w:val="00AF3CE9"/>
    <w:rsid w:val="00AF3DE0"/>
    <w:rsid w:val="00AF47EB"/>
    <w:rsid w:val="00AF4A05"/>
    <w:rsid w:val="00AF4AF0"/>
    <w:rsid w:val="00AF4D35"/>
    <w:rsid w:val="00AF50BD"/>
    <w:rsid w:val="00AF511C"/>
    <w:rsid w:val="00AF5678"/>
    <w:rsid w:val="00AF5BEC"/>
    <w:rsid w:val="00AF653E"/>
    <w:rsid w:val="00AF669C"/>
    <w:rsid w:val="00AF670A"/>
    <w:rsid w:val="00AF7482"/>
    <w:rsid w:val="00AF7565"/>
    <w:rsid w:val="00AF77E9"/>
    <w:rsid w:val="00AF7AB8"/>
    <w:rsid w:val="00B0060C"/>
    <w:rsid w:val="00B0171D"/>
    <w:rsid w:val="00B017F1"/>
    <w:rsid w:val="00B01808"/>
    <w:rsid w:val="00B01AA9"/>
    <w:rsid w:val="00B01C1E"/>
    <w:rsid w:val="00B0282F"/>
    <w:rsid w:val="00B02914"/>
    <w:rsid w:val="00B02E2B"/>
    <w:rsid w:val="00B0320A"/>
    <w:rsid w:val="00B032A0"/>
    <w:rsid w:val="00B03325"/>
    <w:rsid w:val="00B035E3"/>
    <w:rsid w:val="00B03956"/>
    <w:rsid w:val="00B03BF3"/>
    <w:rsid w:val="00B03DC3"/>
    <w:rsid w:val="00B0476B"/>
    <w:rsid w:val="00B04A0B"/>
    <w:rsid w:val="00B04A4D"/>
    <w:rsid w:val="00B04A5D"/>
    <w:rsid w:val="00B04F7A"/>
    <w:rsid w:val="00B04FEC"/>
    <w:rsid w:val="00B0535E"/>
    <w:rsid w:val="00B05704"/>
    <w:rsid w:val="00B05CA2"/>
    <w:rsid w:val="00B05E02"/>
    <w:rsid w:val="00B069A6"/>
    <w:rsid w:val="00B06AF7"/>
    <w:rsid w:val="00B06FBC"/>
    <w:rsid w:val="00B07024"/>
    <w:rsid w:val="00B07163"/>
    <w:rsid w:val="00B074B8"/>
    <w:rsid w:val="00B0788C"/>
    <w:rsid w:val="00B07A9C"/>
    <w:rsid w:val="00B07DD0"/>
    <w:rsid w:val="00B10993"/>
    <w:rsid w:val="00B10BE9"/>
    <w:rsid w:val="00B10E3D"/>
    <w:rsid w:val="00B113D9"/>
    <w:rsid w:val="00B1160E"/>
    <w:rsid w:val="00B119E6"/>
    <w:rsid w:val="00B11A60"/>
    <w:rsid w:val="00B1219B"/>
    <w:rsid w:val="00B121B4"/>
    <w:rsid w:val="00B12462"/>
    <w:rsid w:val="00B127A2"/>
    <w:rsid w:val="00B128AB"/>
    <w:rsid w:val="00B12C05"/>
    <w:rsid w:val="00B12C11"/>
    <w:rsid w:val="00B12C70"/>
    <w:rsid w:val="00B13186"/>
    <w:rsid w:val="00B13334"/>
    <w:rsid w:val="00B13597"/>
    <w:rsid w:val="00B135EE"/>
    <w:rsid w:val="00B138F2"/>
    <w:rsid w:val="00B13CFA"/>
    <w:rsid w:val="00B13E1B"/>
    <w:rsid w:val="00B148CB"/>
    <w:rsid w:val="00B149FC"/>
    <w:rsid w:val="00B14B2F"/>
    <w:rsid w:val="00B14E66"/>
    <w:rsid w:val="00B14E86"/>
    <w:rsid w:val="00B14E9E"/>
    <w:rsid w:val="00B155A3"/>
    <w:rsid w:val="00B15BAB"/>
    <w:rsid w:val="00B15DC4"/>
    <w:rsid w:val="00B15ECF"/>
    <w:rsid w:val="00B16221"/>
    <w:rsid w:val="00B1630E"/>
    <w:rsid w:val="00B1680F"/>
    <w:rsid w:val="00B168F8"/>
    <w:rsid w:val="00B16947"/>
    <w:rsid w:val="00B16B22"/>
    <w:rsid w:val="00B16EBF"/>
    <w:rsid w:val="00B16ED0"/>
    <w:rsid w:val="00B17918"/>
    <w:rsid w:val="00B200B7"/>
    <w:rsid w:val="00B2029D"/>
    <w:rsid w:val="00B202CF"/>
    <w:rsid w:val="00B20CE7"/>
    <w:rsid w:val="00B20DAA"/>
    <w:rsid w:val="00B210FE"/>
    <w:rsid w:val="00B21229"/>
    <w:rsid w:val="00B21377"/>
    <w:rsid w:val="00B21644"/>
    <w:rsid w:val="00B21AD1"/>
    <w:rsid w:val="00B227C9"/>
    <w:rsid w:val="00B22826"/>
    <w:rsid w:val="00B2288E"/>
    <w:rsid w:val="00B229E8"/>
    <w:rsid w:val="00B22BD5"/>
    <w:rsid w:val="00B22E16"/>
    <w:rsid w:val="00B2325B"/>
    <w:rsid w:val="00B23880"/>
    <w:rsid w:val="00B23AA6"/>
    <w:rsid w:val="00B2406E"/>
    <w:rsid w:val="00B246D2"/>
    <w:rsid w:val="00B24791"/>
    <w:rsid w:val="00B2485B"/>
    <w:rsid w:val="00B24AD5"/>
    <w:rsid w:val="00B251D2"/>
    <w:rsid w:val="00B25363"/>
    <w:rsid w:val="00B253DA"/>
    <w:rsid w:val="00B25A2D"/>
    <w:rsid w:val="00B25B55"/>
    <w:rsid w:val="00B25E11"/>
    <w:rsid w:val="00B26261"/>
    <w:rsid w:val="00B2632C"/>
    <w:rsid w:val="00B26A92"/>
    <w:rsid w:val="00B26C9C"/>
    <w:rsid w:val="00B26D50"/>
    <w:rsid w:val="00B26D78"/>
    <w:rsid w:val="00B26F67"/>
    <w:rsid w:val="00B276A5"/>
    <w:rsid w:val="00B276A8"/>
    <w:rsid w:val="00B27754"/>
    <w:rsid w:val="00B27854"/>
    <w:rsid w:val="00B27A81"/>
    <w:rsid w:val="00B30161"/>
    <w:rsid w:val="00B30CEF"/>
    <w:rsid w:val="00B30D48"/>
    <w:rsid w:val="00B30DB9"/>
    <w:rsid w:val="00B30DBB"/>
    <w:rsid w:val="00B30E44"/>
    <w:rsid w:val="00B312CB"/>
    <w:rsid w:val="00B3137A"/>
    <w:rsid w:val="00B3192B"/>
    <w:rsid w:val="00B31BBA"/>
    <w:rsid w:val="00B322AC"/>
    <w:rsid w:val="00B327A2"/>
    <w:rsid w:val="00B32973"/>
    <w:rsid w:val="00B32F6B"/>
    <w:rsid w:val="00B32FAE"/>
    <w:rsid w:val="00B33054"/>
    <w:rsid w:val="00B33241"/>
    <w:rsid w:val="00B33609"/>
    <w:rsid w:val="00B33D9F"/>
    <w:rsid w:val="00B33F6F"/>
    <w:rsid w:val="00B34096"/>
    <w:rsid w:val="00B34370"/>
    <w:rsid w:val="00B34786"/>
    <w:rsid w:val="00B3549C"/>
    <w:rsid w:val="00B35CF0"/>
    <w:rsid w:val="00B36000"/>
    <w:rsid w:val="00B3629B"/>
    <w:rsid w:val="00B36739"/>
    <w:rsid w:val="00B36843"/>
    <w:rsid w:val="00B36930"/>
    <w:rsid w:val="00B36CC6"/>
    <w:rsid w:val="00B36DA2"/>
    <w:rsid w:val="00B36EA4"/>
    <w:rsid w:val="00B371A8"/>
    <w:rsid w:val="00B371BF"/>
    <w:rsid w:val="00B37255"/>
    <w:rsid w:val="00B37590"/>
    <w:rsid w:val="00B37761"/>
    <w:rsid w:val="00B37EB8"/>
    <w:rsid w:val="00B37EFF"/>
    <w:rsid w:val="00B40923"/>
    <w:rsid w:val="00B40CC1"/>
    <w:rsid w:val="00B40DB1"/>
    <w:rsid w:val="00B41AF9"/>
    <w:rsid w:val="00B424DB"/>
    <w:rsid w:val="00B42AD1"/>
    <w:rsid w:val="00B42BA6"/>
    <w:rsid w:val="00B44008"/>
    <w:rsid w:val="00B44085"/>
    <w:rsid w:val="00B4433A"/>
    <w:rsid w:val="00B44342"/>
    <w:rsid w:val="00B445E1"/>
    <w:rsid w:val="00B44640"/>
    <w:rsid w:val="00B44969"/>
    <w:rsid w:val="00B4535A"/>
    <w:rsid w:val="00B45C9A"/>
    <w:rsid w:val="00B462DA"/>
    <w:rsid w:val="00B4633C"/>
    <w:rsid w:val="00B463E1"/>
    <w:rsid w:val="00B46CAB"/>
    <w:rsid w:val="00B46CAE"/>
    <w:rsid w:val="00B46E40"/>
    <w:rsid w:val="00B471DB"/>
    <w:rsid w:val="00B4726D"/>
    <w:rsid w:val="00B47640"/>
    <w:rsid w:val="00B47C80"/>
    <w:rsid w:val="00B47F77"/>
    <w:rsid w:val="00B5017B"/>
    <w:rsid w:val="00B50EA6"/>
    <w:rsid w:val="00B50F0C"/>
    <w:rsid w:val="00B5211D"/>
    <w:rsid w:val="00B521B8"/>
    <w:rsid w:val="00B52448"/>
    <w:rsid w:val="00B52462"/>
    <w:rsid w:val="00B52748"/>
    <w:rsid w:val="00B52A26"/>
    <w:rsid w:val="00B530DB"/>
    <w:rsid w:val="00B533F1"/>
    <w:rsid w:val="00B5376E"/>
    <w:rsid w:val="00B541B4"/>
    <w:rsid w:val="00B54781"/>
    <w:rsid w:val="00B549E8"/>
    <w:rsid w:val="00B54CD0"/>
    <w:rsid w:val="00B54FA1"/>
    <w:rsid w:val="00B5506E"/>
    <w:rsid w:val="00B55205"/>
    <w:rsid w:val="00B55FBE"/>
    <w:rsid w:val="00B5616C"/>
    <w:rsid w:val="00B5657B"/>
    <w:rsid w:val="00B56641"/>
    <w:rsid w:val="00B56899"/>
    <w:rsid w:val="00B56A55"/>
    <w:rsid w:val="00B56AA7"/>
    <w:rsid w:val="00B56F17"/>
    <w:rsid w:val="00B5756B"/>
    <w:rsid w:val="00B57A71"/>
    <w:rsid w:val="00B57D7B"/>
    <w:rsid w:val="00B57DBB"/>
    <w:rsid w:val="00B60761"/>
    <w:rsid w:val="00B6078F"/>
    <w:rsid w:val="00B607CF"/>
    <w:rsid w:val="00B60B10"/>
    <w:rsid w:val="00B60C90"/>
    <w:rsid w:val="00B60D5C"/>
    <w:rsid w:val="00B60D73"/>
    <w:rsid w:val="00B60DA3"/>
    <w:rsid w:val="00B60DBF"/>
    <w:rsid w:val="00B60E66"/>
    <w:rsid w:val="00B6151A"/>
    <w:rsid w:val="00B617E5"/>
    <w:rsid w:val="00B61E6E"/>
    <w:rsid w:val="00B62C93"/>
    <w:rsid w:val="00B62EC1"/>
    <w:rsid w:val="00B63023"/>
    <w:rsid w:val="00B633A7"/>
    <w:rsid w:val="00B63ABB"/>
    <w:rsid w:val="00B63B4C"/>
    <w:rsid w:val="00B64278"/>
    <w:rsid w:val="00B6455B"/>
    <w:rsid w:val="00B6473D"/>
    <w:rsid w:val="00B647FC"/>
    <w:rsid w:val="00B64905"/>
    <w:rsid w:val="00B64CB9"/>
    <w:rsid w:val="00B650E1"/>
    <w:rsid w:val="00B65529"/>
    <w:rsid w:val="00B6563C"/>
    <w:rsid w:val="00B6593A"/>
    <w:rsid w:val="00B659F1"/>
    <w:rsid w:val="00B65A69"/>
    <w:rsid w:val="00B65E02"/>
    <w:rsid w:val="00B66074"/>
    <w:rsid w:val="00B66303"/>
    <w:rsid w:val="00B663FF"/>
    <w:rsid w:val="00B667B0"/>
    <w:rsid w:val="00B66A74"/>
    <w:rsid w:val="00B66D64"/>
    <w:rsid w:val="00B67189"/>
    <w:rsid w:val="00B6719F"/>
    <w:rsid w:val="00B67612"/>
    <w:rsid w:val="00B678F2"/>
    <w:rsid w:val="00B700E0"/>
    <w:rsid w:val="00B70560"/>
    <w:rsid w:val="00B70BC7"/>
    <w:rsid w:val="00B70F2B"/>
    <w:rsid w:val="00B71A30"/>
    <w:rsid w:val="00B72073"/>
    <w:rsid w:val="00B724D6"/>
    <w:rsid w:val="00B72591"/>
    <w:rsid w:val="00B72CF5"/>
    <w:rsid w:val="00B72DCE"/>
    <w:rsid w:val="00B72F17"/>
    <w:rsid w:val="00B72F68"/>
    <w:rsid w:val="00B73001"/>
    <w:rsid w:val="00B73197"/>
    <w:rsid w:val="00B734A9"/>
    <w:rsid w:val="00B74292"/>
    <w:rsid w:val="00B743FA"/>
    <w:rsid w:val="00B7457D"/>
    <w:rsid w:val="00B74900"/>
    <w:rsid w:val="00B7493A"/>
    <w:rsid w:val="00B759D5"/>
    <w:rsid w:val="00B759EB"/>
    <w:rsid w:val="00B759F4"/>
    <w:rsid w:val="00B7670E"/>
    <w:rsid w:val="00B76978"/>
    <w:rsid w:val="00B76DDF"/>
    <w:rsid w:val="00B773BD"/>
    <w:rsid w:val="00B7788D"/>
    <w:rsid w:val="00B77B46"/>
    <w:rsid w:val="00B77BAB"/>
    <w:rsid w:val="00B77BC5"/>
    <w:rsid w:val="00B80165"/>
    <w:rsid w:val="00B8022D"/>
    <w:rsid w:val="00B802BC"/>
    <w:rsid w:val="00B80305"/>
    <w:rsid w:val="00B80322"/>
    <w:rsid w:val="00B80621"/>
    <w:rsid w:val="00B80ED8"/>
    <w:rsid w:val="00B8146C"/>
    <w:rsid w:val="00B8150C"/>
    <w:rsid w:val="00B81897"/>
    <w:rsid w:val="00B81996"/>
    <w:rsid w:val="00B81A43"/>
    <w:rsid w:val="00B81C4B"/>
    <w:rsid w:val="00B82081"/>
    <w:rsid w:val="00B8248A"/>
    <w:rsid w:val="00B82759"/>
    <w:rsid w:val="00B82835"/>
    <w:rsid w:val="00B82A52"/>
    <w:rsid w:val="00B82B8A"/>
    <w:rsid w:val="00B82C98"/>
    <w:rsid w:val="00B82DD7"/>
    <w:rsid w:val="00B83257"/>
    <w:rsid w:val="00B83387"/>
    <w:rsid w:val="00B837E6"/>
    <w:rsid w:val="00B83BF7"/>
    <w:rsid w:val="00B83C6E"/>
    <w:rsid w:val="00B84201"/>
    <w:rsid w:val="00B843B8"/>
    <w:rsid w:val="00B848B2"/>
    <w:rsid w:val="00B85115"/>
    <w:rsid w:val="00B8517F"/>
    <w:rsid w:val="00B853CF"/>
    <w:rsid w:val="00B86178"/>
    <w:rsid w:val="00B86988"/>
    <w:rsid w:val="00B86C4A"/>
    <w:rsid w:val="00B86C70"/>
    <w:rsid w:val="00B87294"/>
    <w:rsid w:val="00B87B21"/>
    <w:rsid w:val="00B87B80"/>
    <w:rsid w:val="00B87C0F"/>
    <w:rsid w:val="00B87E4F"/>
    <w:rsid w:val="00B87F68"/>
    <w:rsid w:val="00B87FF6"/>
    <w:rsid w:val="00B90B18"/>
    <w:rsid w:val="00B90DA3"/>
    <w:rsid w:val="00B910E1"/>
    <w:rsid w:val="00B912BB"/>
    <w:rsid w:val="00B914B2"/>
    <w:rsid w:val="00B91682"/>
    <w:rsid w:val="00B91851"/>
    <w:rsid w:val="00B918E5"/>
    <w:rsid w:val="00B91917"/>
    <w:rsid w:val="00B91DAF"/>
    <w:rsid w:val="00B92457"/>
    <w:rsid w:val="00B9247E"/>
    <w:rsid w:val="00B9267A"/>
    <w:rsid w:val="00B9289A"/>
    <w:rsid w:val="00B92B91"/>
    <w:rsid w:val="00B9323A"/>
    <w:rsid w:val="00B93972"/>
    <w:rsid w:val="00B93AE0"/>
    <w:rsid w:val="00B93C6C"/>
    <w:rsid w:val="00B94088"/>
    <w:rsid w:val="00B940C4"/>
    <w:rsid w:val="00B9457D"/>
    <w:rsid w:val="00B94B3F"/>
    <w:rsid w:val="00B94B5E"/>
    <w:rsid w:val="00B94B94"/>
    <w:rsid w:val="00B95665"/>
    <w:rsid w:val="00B956F2"/>
    <w:rsid w:val="00B957EE"/>
    <w:rsid w:val="00B9693F"/>
    <w:rsid w:val="00B96962"/>
    <w:rsid w:val="00B96DC6"/>
    <w:rsid w:val="00B97000"/>
    <w:rsid w:val="00B97007"/>
    <w:rsid w:val="00B971C6"/>
    <w:rsid w:val="00B972F0"/>
    <w:rsid w:val="00B97F35"/>
    <w:rsid w:val="00B97F48"/>
    <w:rsid w:val="00BA0010"/>
    <w:rsid w:val="00BA0213"/>
    <w:rsid w:val="00BA0389"/>
    <w:rsid w:val="00BA038B"/>
    <w:rsid w:val="00BA06BE"/>
    <w:rsid w:val="00BA0731"/>
    <w:rsid w:val="00BA0903"/>
    <w:rsid w:val="00BA0EDE"/>
    <w:rsid w:val="00BA1163"/>
    <w:rsid w:val="00BA1281"/>
    <w:rsid w:val="00BA14A7"/>
    <w:rsid w:val="00BA1812"/>
    <w:rsid w:val="00BA19C5"/>
    <w:rsid w:val="00BA1C7C"/>
    <w:rsid w:val="00BA21E1"/>
    <w:rsid w:val="00BA23D9"/>
    <w:rsid w:val="00BA2712"/>
    <w:rsid w:val="00BA2FAB"/>
    <w:rsid w:val="00BA3E24"/>
    <w:rsid w:val="00BA4216"/>
    <w:rsid w:val="00BA4423"/>
    <w:rsid w:val="00BA4B03"/>
    <w:rsid w:val="00BA4C1F"/>
    <w:rsid w:val="00BA4CF7"/>
    <w:rsid w:val="00BA4F10"/>
    <w:rsid w:val="00BA5641"/>
    <w:rsid w:val="00BA57A9"/>
    <w:rsid w:val="00BA58B3"/>
    <w:rsid w:val="00BA5D3C"/>
    <w:rsid w:val="00BA605E"/>
    <w:rsid w:val="00BA6673"/>
    <w:rsid w:val="00BA66E8"/>
    <w:rsid w:val="00BA70B9"/>
    <w:rsid w:val="00BA7162"/>
    <w:rsid w:val="00BA762C"/>
    <w:rsid w:val="00BA796E"/>
    <w:rsid w:val="00BA7C3D"/>
    <w:rsid w:val="00BA7D86"/>
    <w:rsid w:val="00BB09F9"/>
    <w:rsid w:val="00BB0A11"/>
    <w:rsid w:val="00BB0A40"/>
    <w:rsid w:val="00BB0E31"/>
    <w:rsid w:val="00BB1117"/>
    <w:rsid w:val="00BB1811"/>
    <w:rsid w:val="00BB190C"/>
    <w:rsid w:val="00BB19DF"/>
    <w:rsid w:val="00BB1CFD"/>
    <w:rsid w:val="00BB1E90"/>
    <w:rsid w:val="00BB2274"/>
    <w:rsid w:val="00BB2361"/>
    <w:rsid w:val="00BB24E4"/>
    <w:rsid w:val="00BB2578"/>
    <w:rsid w:val="00BB29C3"/>
    <w:rsid w:val="00BB3416"/>
    <w:rsid w:val="00BB35B3"/>
    <w:rsid w:val="00BB37AB"/>
    <w:rsid w:val="00BB3B03"/>
    <w:rsid w:val="00BB480E"/>
    <w:rsid w:val="00BB48C0"/>
    <w:rsid w:val="00BB4995"/>
    <w:rsid w:val="00BB4C6D"/>
    <w:rsid w:val="00BB4F92"/>
    <w:rsid w:val="00BB53EF"/>
    <w:rsid w:val="00BB5654"/>
    <w:rsid w:val="00BB5847"/>
    <w:rsid w:val="00BB5BD1"/>
    <w:rsid w:val="00BB5C52"/>
    <w:rsid w:val="00BB5E2F"/>
    <w:rsid w:val="00BB652E"/>
    <w:rsid w:val="00BB66E1"/>
    <w:rsid w:val="00BB67A7"/>
    <w:rsid w:val="00BB71D1"/>
    <w:rsid w:val="00BB77A4"/>
    <w:rsid w:val="00BB798C"/>
    <w:rsid w:val="00BB7992"/>
    <w:rsid w:val="00BB7A09"/>
    <w:rsid w:val="00BB7B08"/>
    <w:rsid w:val="00BC0502"/>
    <w:rsid w:val="00BC063C"/>
    <w:rsid w:val="00BC0694"/>
    <w:rsid w:val="00BC0758"/>
    <w:rsid w:val="00BC0861"/>
    <w:rsid w:val="00BC0945"/>
    <w:rsid w:val="00BC0A15"/>
    <w:rsid w:val="00BC0F4D"/>
    <w:rsid w:val="00BC1408"/>
    <w:rsid w:val="00BC1598"/>
    <w:rsid w:val="00BC16C9"/>
    <w:rsid w:val="00BC1EAE"/>
    <w:rsid w:val="00BC1F98"/>
    <w:rsid w:val="00BC20DB"/>
    <w:rsid w:val="00BC2370"/>
    <w:rsid w:val="00BC248A"/>
    <w:rsid w:val="00BC25D6"/>
    <w:rsid w:val="00BC27A4"/>
    <w:rsid w:val="00BC2CF2"/>
    <w:rsid w:val="00BC2F08"/>
    <w:rsid w:val="00BC3693"/>
    <w:rsid w:val="00BC36F8"/>
    <w:rsid w:val="00BC3854"/>
    <w:rsid w:val="00BC3FFC"/>
    <w:rsid w:val="00BC40DD"/>
    <w:rsid w:val="00BC4971"/>
    <w:rsid w:val="00BC4CAA"/>
    <w:rsid w:val="00BC4F17"/>
    <w:rsid w:val="00BC52EF"/>
    <w:rsid w:val="00BC546F"/>
    <w:rsid w:val="00BC563F"/>
    <w:rsid w:val="00BC5C84"/>
    <w:rsid w:val="00BC5E07"/>
    <w:rsid w:val="00BC5E43"/>
    <w:rsid w:val="00BC61C4"/>
    <w:rsid w:val="00BC61EF"/>
    <w:rsid w:val="00BC6302"/>
    <w:rsid w:val="00BC642E"/>
    <w:rsid w:val="00BC6885"/>
    <w:rsid w:val="00BC6DBE"/>
    <w:rsid w:val="00BC7103"/>
    <w:rsid w:val="00BD0250"/>
    <w:rsid w:val="00BD037A"/>
    <w:rsid w:val="00BD09CA"/>
    <w:rsid w:val="00BD0B07"/>
    <w:rsid w:val="00BD0DB0"/>
    <w:rsid w:val="00BD0F93"/>
    <w:rsid w:val="00BD12C4"/>
    <w:rsid w:val="00BD1662"/>
    <w:rsid w:val="00BD16A9"/>
    <w:rsid w:val="00BD196F"/>
    <w:rsid w:val="00BD1A59"/>
    <w:rsid w:val="00BD220C"/>
    <w:rsid w:val="00BD256C"/>
    <w:rsid w:val="00BD281C"/>
    <w:rsid w:val="00BD2E53"/>
    <w:rsid w:val="00BD2ECA"/>
    <w:rsid w:val="00BD3421"/>
    <w:rsid w:val="00BD3432"/>
    <w:rsid w:val="00BD3687"/>
    <w:rsid w:val="00BD3B52"/>
    <w:rsid w:val="00BD3D35"/>
    <w:rsid w:val="00BD3E1B"/>
    <w:rsid w:val="00BD456F"/>
    <w:rsid w:val="00BD47E7"/>
    <w:rsid w:val="00BD4D64"/>
    <w:rsid w:val="00BD51EF"/>
    <w:rsid w:val="00BD5596"/>
    <w:rsid w:val="00BD5A52"/>
    <w:rsid w:val="00BD6323"/>
    <w:rsid w:val="00BD66D4"/>
    <w:rsid w:val="00BD6C81"/>
    <w:rsid w:val="00BD6E2A"/>
    <w:rsid w:val="00BD6E41"/>
    <w:rsid w:val="00BD7147"/>
    <w:rsid w:val="00BD72DF"/>
    <w:rsid w:val="00BD79FC"/>
    <w:rsid w:val="00BE011B"/>
    <w:rsid w:val="00BE01E3"/>
    <w:rsid w:val="00BE031D"/>
    <w:rsid w:val="00BE0419"/>
    <w:rsid w:val="00BE0913"/>
    <w:rsid w:val="00BE0A79"/>
    <w:rsid w:val="00BE0B80"/>
    <w:rsid w:val="00BE0DE1"/>
    <w:rsid w:val="00BE0E73"/>
    <w:rsid w:val="00BE1069"/>
    <w:rsid w:val="00BE1976"/>
    <w:rsid w:val="00BE2515"/>
    <w:rsid w:val="00BE2C68"/>
    <w:rsid w:val="00BE3E11"/>
    <w:rsid w:val="00BE4010"/>
    <w:rsid w:val="00BE4409"/>
    <w:rsid w:val="00BE49AB"/>
    <w:rsid w:val="00BE5026"/>
    <w:rsid w:val="00BE529D"/>
    <w:rsid w:val="00BE53E9"/>
    <w:rsid w:val="00BE5B60"/>
    <w:rsid w:val="00BE5F3C"/>
    <w:rsid w:val="00BE63A9"/>
    <w:rsid w:val="00BE6958"/>
    <w:rsid w:val="00BE6B69"/>
    <w:rsid w:val="00BE6EBF"/>
    <w:rsid w:val="00BE719B"/>
    <w:rsid w:val="00BE76F5"/>
    <w:rsid w:val="00BE7BF3"/>
    <w:rsid w:val="00BF06CD"/>
    <w:rsid w:val="00BF0E4B"/>
    <w:rsid w:val="00BF1153"/>
    <w:rsid w:val="00BF21FA"/>
    <w:rsid w:val="00BF23E9"/>
    <w:rsid w:val="00BF2580"/>
    <w:rsid w:val="00BF2984"/>
    <w:rsid w:val="00BF29EC"/>
    <w:rsid w:val="00BF2C00"/>
    <w:rsid w:val="00BF2E8C"/>
    <w:rsid w:val="00BF2EDA"/>
    <w:rsid w:val="00BF30B6"/>
    <w:rsid w:val="00BF3848"/>
    <w:rsid w:val="00BF39D5"/>
    <w:rsid w:val="00BF3C2C"/>
    <w:rsid w:val="00BF45B6"/>
    <w:rsid w:val="00BF47D6"/>
    <w:rsid w:val="00BF4D18"/>
    <w:rsid w:val="00BF568D"/>
    <w:rsid w:val="00BF5FCB"/>
    <w:rsid w:val="00BF61E1"/>
    <w:rsid w:val="00BF6910"/>
    <w:rsid w:val="00BF6A78"/>
    <w:rsid w:val="00BF6C0E"/>
    <w:rsid w:val="00BF6C2D"/>
    <w:rsid w:val="00BF6CD8"/>
    <w:rsid w:val="00BF6DB9"/>
    <w:rsid w:val="00BF6E2E"/>
    <w:rsid w:val="00BF728E"/>
    <w:rsid w:val="00BF738F"/>
    <w:rsid w:val="00BF7892"/>
    <w:rsid w:val="00C004F5"/>
    <w:rsid w:val="00C005DB"/>
    <w:rsid w:val="00C00F65"/>
    <w:rsid w:val="00C011E5"/>
    <w:rsid w:val="00C012CC"/>
    <w:rsid w:val="00C01563"/>
    <w:rsid w:val="00C01AF2"/>
    <w:rsid w:val="00C01B06"/>
    <w:rsid w:val="00C0265E"/>
    <w:rsid w:val="00C0265F"/>
    <w:rsid w:val="00C02B29"/>
    <w:rsid w:val="00C02BDA"/>
    <w:rsid w:val="00C031A3"/>
    <w:rsid w:val="00C0321A"/>
    <w:rsid w:val="00C032D5"/>
    <w:rsid w:val="00C03C3F"/>
    <w:rsid w:val="00C03C75"/>
    <w:rsid w:val="00C03E72"/>
    <w:rsid w:val="00C04198"/>
    <w:rsid w:val="00C04206"/>
    <w:rsid w:val="00C04660"/>
    <w:rsid w:val="00C0493E"/>
    <w:rsid w:val="00C055D6"/>
    <w:rsid w:val="00C05736"/>
    <w:rsid w:val="00C05C3B"/>
    <w:rsid w:val="00C05D2D"/>
    <w:rsid w:val="00C06153"/>
    <w:rsid w:val="00C06607"/>
    <w:rsid w:val="00C06FE8"/>
    <w:rsid w:val="00C07149"/>
    <w:rsid w:val="00C07159"/>
    <w:rsid w:val="00C07743"/>
    <w:rsid w:val="00C07952"/>
    <w:rsid w:val="00C079E9"/>
    <w:rsid w:val="00C1004B"/>
    <w:rsid w:val="00C10419"/>
    <w:rsid w:val="00C10632"/>
    <w:rsid w:val="00C10B04"/>
    <w:rsid w:val="00C1143A"/>
    <w:rsid w:val="00C1186F"/>
    <w:rsid w:val="00C11E24"/>
    <w:rsid w:val="00C12012"/>
    <w:rsid w:val="00C13538"/>
    <w:rsid w:val="00C13908"/>
    <w:rsid w:val="00C139C8"/>
    <w:rsid w:val="00C13E4A"/>
    <w:rsid w:val="00C13FA4"/>
    <w:rsid w:val="00C15255"/>
    <w:rsid w:val="00C15CB2"/>
    <w:rsid w:val="00C15DBC"/>
    <w:rsid w:val="00C160F1"/>
    <w:rsid w:val="00C1627A"/>
    <w:rsid w:val="00C166C2"/>
    <w:rsid w:val="00C16AB3"/>
    <w:rsid w:val="00C16F3C"/>
    <w:rsid w:val="00C175CB"/>
    <w:rsid w:val="00C176C1"/>
    <w:rsid w:val="00C17A56"/>
    <w:rsid w:val="00C17AC5"/>
    <w:rsid w:val="00C17B9B"/>
    <w:rsid w:val="00C17BCB"/>
    <w:rsid w:val="00C17C01"/>
    <w:rsid w:val="00C202A6"/>
    <w:rsid w:val="00C2092F"/>
    <w:rsid w:val="00C20B08"/>
    <w:rsid w:val="00C20F91"/>
    <w:rsid w:val="00C21724"/>
    <w:rsid w:val="00C2186C"/>
    <w:rsid w:val="00C21AAC"/>
    <w:rsid w:val="00C21C97"/>
    <w:rsid w:val="00C21F99"/>
    <w:rsid w:val="00C21FA7"/>
    <w:rsid w:val="00C22226"/>
    <w:rsid w:val="00C22475"/>
    <w:rsid w:val="00C22814"/>
    <w:rsid w:val="00C22A20"/>
    <w:rsid w:val="00C23111"/>
    <w:rsid w:val="00C23798"/>
    <w:rsid w:val="00C23F92"/>
    <w:rsid w:val="00C23FF4"/>
    <w:rsid w:val="00C24145"/>
    <w:rsid w:val="00C24B1F"/>
    <w:rsid w:val="00C250C7"/>
    <w:rsid w:val="00C25952"/>
    <w:rsid w:val="00C25ED0"/>
    <w:rsid w:val="00C26133"/>
    <w:rsid w:val="00C26509"/>
    <w:rsid w:val="00C26AAC"/>
    <w:rsid w:val="00C26CC4"/>
    <w:rsid w:val="00C26DA6"/>
    <w:rsid w:val="00C27274"/>
    <w:rsid w:val="00C2784B"/>
    <w:rsid w:val="00C27A48"/>
    <w:rsid w:val="00C27E33"/>
    <w:rsid w:val="00C30818"/>
    <w:rsid w:val="00C30A52"/>
    <w:rsid w:val="00C31387"/>
    <w:rsid w:val="00C314AF"/>
    <w:rsid w:val="00C31B17"/>
    <w:rsid w:val="00C31D0E"/>
    <w:rsid w:val="00C31E56"/>
    <w:rsid w:val="00C31FD5"/>
    <w:rsid w:val="00C325DD"/>
    <w:rsid w:val="00C326C1"/>
    <w:rsid w:val="00C32D53"/>
    <w:rsid w:val="00C32DE4"/>
    <w:rsid w:val="00C338B2"/>
    <w:rsid w:val="00C33938"/>
    <w:rsid w:val="00C33977"/>
    <w:rsid w:val="00C34274"/>
    <w:rsid w:val="00C34837"/>
    <w:rsid w:val="00C34CEB"/>
    <w:rsid w:val="00C34E81"/>
    <w:rsid w:val="00C353BE"/>
    <w:rsid w:val="00C35643"/>
    <w:rsid w:val="00C357BC"/>
    <w:rsid w:val="00C35964"/>
    <w:rsid w:val="00C35E25"/>
    <w:rsid w:val="00C35EB9"/>
    <w:rsid w:val="00C35F9B"/>
    <w:rsid w:val="00C36D84"/>
    <w:rsid w:val="00C37187"/>
    <w:rsid w:val="00C3728B"/>
    <w:rsid w:val="00C37472"/>
    <w:rsid w:val="00C37653"/>
    <w:rsid w:val="00C37790"/>
    <w:rsid w:val="00C379EB"/>
    <w:rsid w:val="00C37B9E"/>
    <w:rsid w:val="00C4028E"/>
    <w:rsid w:val="00C402B5"/>
    <w:rsid w:val="00C4055E"/>
    <w:rsid w:val="00C406CB"/>
    <w:rsid w:val="00C40DE2"/>
    <w:rsid w:val="00C40EF3"/>
    <w:rsid w:val="00C40FB8"/>
    <w:rsid w:val="00C40FDE"/>
    <w:rsid w:val="00C41598"/>
    <w:rsid w:val="00C41BCA"/>
    <w:rsid w:val="00C41BF2"/>
    <w:rsid w:val="00C41E34"/>
    <w:rsid w:val="00C41E7F"/>
    <w:rsid w:val="00C42066"/>
    <w:rsid w:val="00C4228B"/>
    <w:rsid w:val="00C4261D"/>
    <w:rsid w:val="00C427A9"/>
    <w:rsid w:val="00C42934"/>
    <w:rsid w:val="00C435E8"/>
    <w:rsid w:val="00C437B7"/>
    <w:rsid w:val="00C43D54"/>
    <w:rsid w:val="00C44298"/>
    <w:rsid w:val="00C447A7"/>
    <w:rsid w:val="00C447C0"/>
    <w:rsid w:val="00C44CDE"/>
    <w:rsid w:val="00C45040"/>
    <w:rsid w:val="00C45168"/>
    <w:rsid w:val="00C452A2"/>
    <w:rsid w:val="00C45466"/>
    <w:rsid w:val="00C45674"/>
    <w:rsid w:val="00C458E8"/>
    <w:rsid w:val="00C45915"/>
    <w:rsid w:val="00C45A1F"/>
    <w:rsid w:val="00C45ABF"/>
    <w:rsid w:val="00C45E1C"/>
    <w:rsid w:val="00C46779"/>
    <w:rsid w:val="00C468CD"/>
    <w:rsid w:val="00C46C56"/>
    <w:rsid w:val="00C46E2F"/>
    <w:rsid w:val="00C46EC5"/>
    <w:rsid w:val="00C46FBC"/>
    <w:rsid w:val="00C4732E"/>
    <w:rsid w:val="00C473B5"/>
    <w:rsid w:val="00C50055"/>
    <w:rsid w:val="00C503C4"/>
    <w:rsid w:val="00C504C1"/>
    <w:rsid w:val="00C51236"/>
    <w:rsid w:val="00C51A1D"/>
    <w:rsid w:val="00C51A51"/>
    <w:rsid w:val="00C51BDF"/>
    <w:rsid w:val="00C51E64"/>
    <w:rsid w:val="00C51FB7"/>
    <w:rsid w:val="00C51FD5"/>
    <w:rsid w:val="00C528FF"/>
    <w:rsid w:val="00C5290F"/>
    <w:rsid w:val="00C52DE1"/>
    <w:rsid w:val="00C52DE5"/>
    <w:rsid w:val="00C5308C"/>
    <w:rsid w:val="00C53112"/>
    <w:rsid w:val="00C53355"/>
    <w:rsid w:val="00C537C2"/>
    <w:rsid w:val="00C53FD2"/>
    <w:rsid w:val="00C541B7"/>
    <w:rsid w:val="00C5455A"/>
    <w:rsid w:val="00C546DD"/>
    <w:rsid w:val="00C54AF9"/>
    <w:rsid w:val="00C54BC1"/>
    <w:rsid w:val="00C54E2B"/>
    <w:rsid w:val="00C550DE"/>
    <w:rsid w:val="00C5520C"/>
    <w:rsid w:val="00C55807"/>
    <w:rsid w:val="00C55902"/>
    <w:rsid w:val="00C55E01"/>
    <w:rsid w:val="00C55E6A"/>
    <w:rsid w:val="00C55EDE"/>
    <w:rsid w:val="00C5609F"/>
    <w:rsid w:val="00C561D7"/>
    <w:rsid w:val="00C566EA"/>
    <w:rsid w:val="00C5676F"/>
    <w:rsid w:val="00C571DA"/>
    <w:rsid w:val="00C57C7B"/>
    <w:rsid w:val="00C57E25"/>
    <w:rsid w:val="00C6091E"/>
    <w:rsid w:val="00C609FC"/>
    <w:rsid w:val="00C613EC"/>
    <w:rsid w:val="00C61A7F"/>
    <w:rsid w:val="00C61E50"/>
    <w:rsid w:val="00C622A7"/>
    <w:rsid w:val="00C627FC"/>
    <w:rsid w:val="00C62872"/>
    <w:rsid w:val="00C63348"/>
    <w:rsid w:val="00C636A3"/>
    <w:rsid w:val="00C6381A"/>
    <w:rsid w:val="00C6388A"/>
    <w:rsid w:val="00C63D14"/>
    <w:rsid w:val="00C63F46"/>
    <w:rsid w:val="00C64218"/>
    <w:rsid w:val="00C645BF"/>
    <w:rsid w:val="00C64D1A"/>
    <w:rsid w:val="00C65210"/>
    <w:rsid w:val="00C65408"/>
    <w:rsid w:val="00C65455"/>
    <w:rsid w:val="00C658EF"/>
    <w:rsid w:val="00C65C95"/>
    <w:rsid w:val="00C65FA4"/>
    <w:rsid w:val="00C6625A"/>
    <w:rsid w:val="00C662DA"/>
    <w:rsid w:val="00C66573"/>
    <w:rsid w:val="00C66E10"/>
    <w:rsid w:val="00C67119"/>
    <w:rsid w:val="00C674A1"/>
    <w:rsid w:val="00C67885"/>
    <w:rsid w:val="00C67B1F"/>
    <w:rsid w:val="00C701EE"/>
    <w:rsid w:val="00C70D1D"/>
    <w:rsid w:val="00C71443"/>
    <w:rsid w:val="00C71A13"/>
    <w:rsid w:val="00C71B90"/>
    <w:rsid w:val="00C71E07"/>
    <w:rsid w:val="00C72334"/>
    <w:rsid w:val="00C724BC"/>
    <w:rsid w:val="00C727B3"/>
    <w:rsid w:val="00C728EB"/>
    <w:rsid w:val="00C72D4D"/>
    <w:rsid w:val="00C73A0E"/>
    <w:rsid w:val="00C73A3D"/>
    <w:rsid w:val="00C73D5B"/>
    <w:rsid w:val="00C740F6"/>
    <w:rsid w:val="00C7453D"/>
    <w:rsid w:val="00C745C5"/>
    <w:rsid w:val="00C7462E"/>
    <w:rsid w:val="00C74A31"/>
    <w:rsid w:val="00C7514E"/>
    <w:rsid w:val="00C75225"/>
    <w:rsid w:val="00C7573E"/>
    <w:rsid w:val="00C7573F"/>
    <w:rsid w:val="00C75752"/>
    <w:rsid w:val="00C76018"/>
    <w:rsid w:val="00C762C0"/>
    <w:rsid w:val="00C762E5"/>
    <w:rsid w:val="00C76868"/>
    <w:rsid w:val="00C76E30"/>
    <w:rsid w:val="00C77F56"/>
    <w:rsid w:val="00C8019D"/>
    <w:rsid w:val="00C80311"/>
    <w:rsid w:val="00C80BD2"/>
    <w:rsid w:val="00C81130"/>
    <w:rsid w:val="00C8128C"/>
    <w:rsid w:val="00C812F5"/>
    <w:rsid w:val="00C8133E"/>
    <w:rsid w:val="00C81F12"/>
    <w:rsid w:val="00C8258F"/>
    <w:rsid w:val="00C8266D"/>
    <w:rsid w:val="00C83960"/>
    <w:rsid w:val="00C83A32"/>
    <w:rsid w:val="00C83FC3"/>
    <w:rsid w:val="00C84023"/>
    <w:rsid w:val="00C842AB"/>
    <w:rsid w:val="00C8458C"/>
    <w:rsid w:val="00C84818"/>
    <w:rsid w:val="00C84A47"/>
    <w:rsid w:val="00C84BAE"/>
    <w:rsid w:val="00C8526C"/>
    <w:rsid w:val="00C8558A"/>
    <w:rsid w:val="00C86358"/>
    <w:rsid w:val="00C86458"/>
    <w:rsid w:val="00C86583"/>
    <w:rsid w:val="00C86904"/>
    <w:rsid w:val="00C86938"/>
    <w:rsid w:val="00C86B7C"/>
    <w:rsid w:val="00C873C9"/>
    <w:rsid w:val="00C87512"/>
    <w:rsid w:val="00C87A36"/>
    <w:rsid w:val="00C87AA6"/>
    <w:rsid w:val="00C87D41"/>
    <w:rsid w:val="00C90370"/>
    <w:rsid w:val="00C909BB"/>
    <w:rsid w:val="00C90A4F"/>
    <w:rsid w:val="00C90A80"/>
    <w:rsid w:val="00C911B2"/>
    <w:rsid w:val="00C91604"/>
    <w:rsid w:val="00C91732"/>
    <w:rsid w:val="00C91ACA"/>
    <w:rsid w:val="00C91D86"/>
    <w:rsid w:val="00C91EA9"/>
    <w:rsid w:val="00C9201A"/>
    <w:rsid w:val="00C9216F"/>
    <w:rsid w:val="00C92333"/>
    <w:rsid w:val="00C9276E"/>
    <w:rsid w:val="00C92B88"/>
    <w:rsid w:val="00C92F27"/>
    <w:rsid w:val="00C93C7D"/>
    <w:rsid w:val="00C93D1A"/>
    <w:rsid w:val="00C93DAD"/>
    <w:rsid w:val="00C9424D"/>
    <w:rsid w:val="00C94370"/>
    <w:rsid w:val="00C944E1"/>
    <w:rsid w:val="00C9536A"/>
    <w:rsid w:val="00C95B77"/>
    <w:rsid w:val="00C9629A"/>
    <w:rsid w:val="00C96632"/>
    <w:rsid w:val="00C96705"/>
    <w:rsid w:val="00C969A7"/>
    <w:rsid w:val="00C97245"/>
    <w:rsid w:val="00C9754D"/>
    <w:rsid w:val="00C9768D"/>
    <w:rsid w:val="00C976B2"/>
    <w:rsid w:val="00C97ADC"/>
    <w:rsid w:val="00CA08D7"/>
    <w:rsid w:val="00CA1D3A"/>
    <w:rsid w:val="00CA1D40"/>
    <w:rsid w:val="00CA22E2"/>
    <w:rsid w:val="00CA2882"/>
    <w:rsid w:val="00CA2D39"/>
    <w:rsid w:val="00CA2D59"/>
    <w:rsid w:val="00CA2E12"/>
    <w:rsid w:val="00CA2FC3"/>
    <w:rsid w:val="00CA34A2"/>
    <w:rsid w:val="00CA377D"/>
    <w:rsid w:val="00CA4841"/>
    <w:rsid w:val="00CA4DA8"/>
    <w:rsid w:val="00CA4EED"/>
    <w:rsid w:val="00CA4FB4"/>
    <w:rsid w:val="00CA5C64"/>
    <w:rsid w:val="00CA5DBE"/>
    <w:rsid w:val="00CA6171"/>
    <w:rsid w:val="00CA6394"/>
    <w:rsid w:val="00CA6AFC"/>
    <w:rsid w:val="00CA6B09"/>
    <w:rsid w:val="00CA6B0E"/>
    <w:rsid w:val="00CA6BCC"/>
    <w:rsid w:val="00CA7589"/>
    <w:rsid w:val="00CA76D6"/>
    <w:rsid w:val="00CB0180"/>
    <w:rsid w:val="00CB023B"/>
    <w:rsid w:val="00CB0B20"/>
    <w:rsid w:val="00CB152E"/>
    <w:rsid w:val="00CB1904"/>
    <w:rsid w:val="00CB1DCE"/>
    <w:rsid w:val="00CB1E4F"/>
    <w:rsid w:val="00CB20BB"/>
    <w:rsid w:val="00CB2665"/>
    <w:rsid w:val="00CB2F42"/>
    <w:rsid w:val="00CB3244"/>
    <w:rsid w:val="00CB3698"/>
    <w:rsid w:val="00CB36E9"/>
    <w:rsid w:val="00CB3789"/>
    <w:rsid w:val="00CB3C83"/>
    <w:rsid w:val="00CB40BE"/>
    <w:rsid w:val="00CB4816"/>
    <w:rsid w:val="00CB4BDE"/>
    <w:rsid w:val="00CB4C66"/>
    <w:rsid w:val="00CB4E34"/>
    <w:rsid w:val="00CB52A5"/>
    <w:rsid w:val="00CB5454"/>
    <w:rsid w:val="00CB5A4C"/>
    <w:rsid w:val="00CB5F7C"/>
    <w:rsid w:val="00CB5F9E"/>
    <w:rsid w:val="00CB5FD4"/>
    <w:rsid w:val="00CB762B"/>
    <w:rsid w:val="00CB797A"/>
    <w:rsid w:val="00CB7E81"/>
    <w:rsid w:val="00CC0307"/>
    <w:rsid w:val="00CC035C"/>
    <w:rsid w:val="00CC050F"/>
    <w:rsid w:val="00CC07F9"/>
    <w:rsid w:val="00CC0C88"/>
    <w:rsid w:val="00CC11D2"/>
    <w:rsid w:val="00CC138D"/>
    <w:rsid w:val="00CC1678"/>
    <w:rsid w:val="00CC1F8A"/>
    <w:rsid w:val="00CC219B"/>
    <w:rsid w:val="00CC2479"/>
    <w:rsid w:val="00CC2CDC"/>
    <w:rsid w:val="00CC2F48"/>
    <w:rsid w:val="00CC32BE"/>
    <w:rsid w:val="00CC37D4"/>
    <w:rsid w:val="00CC38F8"/>
    <w:rsid w:val="00CC3948"/>
    <w:rsid w:val="00CC3F83"/>
    <w:rsid w:val="00CC3FD3"/>
    <w:rsid w:val="00CC3FEB"/>
    <w:rsid w:val="00CC4181"/>
    <w:rsid w:val="00CC4C51"/>
    <w:rsid w:val="00CC5004"/>
    <w:rsid w:val="00CC52F6"/>
    <w:rsid w:val="00CC53C6"/>
    <w:rsid w:val="00CC5658"/>
    <w:rsid w:val="00CC5AB7"/>
    <w:rsid w:val="00CC60F4"/>
    <w:rsid w:val="00CC6457"/>
    <w:rsid w:val="00CC692B"/>
    <w:rsid w:val="00CC6B6E"/>
    <w:rsid w:val="00CC72CC"/>
    <w:rsid w:val="00CC73C8"/>
    <w:rsid w:val="00CC7506"/>
    <w:rsid w:val="00CC785F"/>
    <w:rsid w:val="00CD00D7"/>
    <w:rsid w:val="00CD0345"/>
    <w:rsid w:val="00CD055F"/>
    <w:rsid w:val="00CD1100"/>
    <w:rsid w:val="00CD124A"/>
    <w:rsid w:val="00CD1332"/>
    <w:rsid w:val="00CD18C6"/>
    <w:rsid w:val="00CD1E16"/>
    <w:rsid w:val="00CD2E21"/>
    <w:rsid w:val="00CD3028"/>
    <w:rsid w:val="00CD33AF"/>
    <w:rsid w:val="00CD3620"/>
    <w:rsid w:val="00CD374D"/>
    <w:rsid w:val="00CD4352"/>
    <w:rsid w:val="00CD46B1"/>
    <w:rsid w:val="00CD4BA1"/>
    <w:rsid w:val="00CD4D90"/>
    <w:rsid w:val="00CD56A5"/>
    <w:rsid w:val="00CD574F"/>
    <w:rsid w:val="00CD5853"/>
    <w:rsid w:val="00CD586D"/>
    <w:rsid w:val="00CD58B0"/>
    <w:rsid w:val="00CD6014"/>
    <w:rsid w:val="00CD61F4"/>
    <w:rsid w:val="00CD62F5"/>
    <w:rsid w:val="00CD650D"/>
    <w:rsid w:val="00CD65DA"/>
    <w:rsid w:val="00CD67EE"/>
    <w:rsid w:val="00CD68F1"/>
    <w:rsid w:val="00CD69BA"/>
    <w:rsid w:val="00CD6AE1"/>
    <w:rsid w:val="00CD6ECA"/>
    <w:rsid w:val="00CD7755"/>
    <w:rsid w:val="00CD7844"/>
    <w:rsid w:val="00CD7A02"/>
    <w:rsid w:val="00CD7F86"/>
    <w:rsid w:val="00CD7F95"/>
    <w:rsid w:val="00CE012B"/>
    <w:rsid w:val="00CE0CE5"/>
    <w:rsid w:val="00CE1572"/>
    <w:rsid w:val="00CE26DE"/>
    <w:rsid w:val="00CE2F11"/>
    <w:rsid w:val="00CE2FA0"/>
    <w:rsid w:val="00CE375E"/>
    <w:rsid w:val="00CE4441"/>
    <w:rsid w:val="00CE4651"/>
    <w:rsid w:val="00CE4970"/>
    <w:rsid w:val="00CE54E2"/>
    <w:rsid w:val="00CE56D7"/>
    <w:rsid w:val="00CE5828"/>
    <w:rsid w:val="00CE591E"/>
    <w:rsid w:val="00CE5D0E"/>
    <w:rsid w:val="00CE5FE5"/>
    <w:rsid w:val="00CE623B"/>
    <w:rsid w:val="00CE6421"/>
    <w:rsid w:val="00CE65FA"/>
    <w:rsid w:val="00CE6AF3"/>
    <w:rsid w:val="00CE6C4E"/>
    <w:rsid w:val="00CE6F09"/>
    <w:rsid w:val="00CE72D8"/>
    <w:rsid w:val="00CE7533"/>
    <w:rsid w:val="00CF007D"/>
    <w:rsid w:val="00CF0217"/>
    <w:rsid w:val="00CF02CE"/>
    <w:rsid w:val="00CF058A"/>
    <w:rsid w:val="00CF0906"/>
    <w:rsid w:val="00CF0C6D"/>
    <w:rsid w:val="00CF1154"/>
    <w:rsid w:val="00CF12E9"/>
    <w:rsid w:val="00CF13DB"/>
    <w:rsid w:val="00CF1761"/>
    <w:rsid w:val="00CF1C6F"/>
    <w:rsid w:val="00CF2166"/>
    <w:rsid w:val="00CF216C"/>
    <w:rsid w:val="00CF24BD"/>
    <w:rsid w:val="00CF2962"/>
    <w:rsid w:val="00CF2CE3"/>
    <w:rsid w:val="00CF31E1"/>
    <w:rsid w:val="00CF3C35"/>
    <w:rsid w:val="00CF3F29"/>
    <w:rsid w:val="00CF4069"/>
    <w:rsid w:val="00CF431F"/>
    <w:rsid w:val="00CF45FB"/>
    <w:rsid w:val="00CF48AD"/>
    <w:rsid w:val="00CF49EE"/>
    <w:rsid w:val="00CF521D"/>
    <w:rsid w:val="00CF5337"/>
    <w:rsid w:val="00CF5921"/>
    <w:rsid w:val="00CF6663"/>
    <w:rsid w:val="00CF68C2"/>
    <w:rsid w:val="00CF6B5E"/>
    <w:rsid w:val="00CF6E84"/>
    <w:rsid w:val="00CF6F85"/>
    <w:rsid w:val="00CF7574"/>
    <w:rsid w:val="00CF7C16"/>
    <w:rsid w:val="00D001A5"/>
    <w:rsid w:val="00D00719"/>
    <w:rsid w:val="00D007EE"/>
    <w:rsid w:val="00D00E4B"/>
    <w:rsid w:val="00D011D9"/>
    <w:rsid w:val="00D018C1"/>
    <w:rsid w:val="00D0192F"/>
    <w:rsid w:val="00D01EAE"/>
    <w:rsid w:val="00D01FD5"/>
    <w:rsid w:val="00D01FD7"/>
    <w:rsid w:val="00D01FE3"/>
    <w:rsid w:val="00D0242D"/>
    <w:rsid w:val="00D0275A"/>
    <w:rsid w:val="00D02851"/>
    <w:rsid w:val="00D02B06"/>
    <w:rsid w:val="00D02B96"/>
    <w:rsid w:val="00D02D92"/>
    <w:rsid w:val="00D03388"/>
    <w:rsid w:val="00D033AC"/>
    <w:rsid w:val="00D03456"/>
    <w:rsid w:val="00D0346C"/>
    <w:rsid w:val="00D034AE"/>
    <w:rsid w:val="00D038C6"/>
    <w:rsid w:val="00D03B37"/>
    <w:rsid w:val="00D03C41"/>
    <w:rsid w:val="00D03E10"/>
    <w:rsid w:val="00D0442F"/>
    <w:rsid w:val="00D04594"/>
    <w:rsid w:val="00D0504F"/>
    <w:rsid w:val="00D054B0"/>
    <w:rsid w:val="00D054BF"/>
    <w:rsid w:val="00D0590E"/>
    <w:rsid w:val="00D06159"/>
    <w:rsid w:val="00D06620"/>
    <w:rsid w:val="00D066FE"/>
    <w:rsid w:val="00D0719C"/>
    <w:rsid w:val="00D0743B"/>
    <w:rsid w:val="00D079F1"/>
    <w:rsid w:val="00D07C28"/>
    <w:rsid w:val="00D07E40"/>
    <w:rsid w:val="00D10067"/>
    <w:rsid w:val="00D105A3"/>
    <w:rsid w:val="00D10934"/>
    <w:rsid w:val="00D10A15"/>
    <w:rsid w:val="00D10C20"/>
    <w:rsid w:val="00D11235"/>
    <w:rsid w:val="00D115E4"/>
    <w:rsid w:val="00D11E8E"/>
    <w:rsid w:val="00D11F2C"/>
    <w:rsid w:val="00D1217E"/>
    <w:rsid w:val="00D1252A"/>
    <w:rsid w:val="00D12850"/>
    <w:rsid w:val="00D12C56"/>
    <w:rsid w:val="00D135F8"/>
    <w:rsid w:val="00D13733"/>
    <w:rsid w:val="00D13EE0"/>
    <w:rsid w:val="00D13FCF"/>
    <w:rsid w:val="00D1426A"/>
    <w:rsid w:val="00D1431E"/>
    <w:rsid w:val="00D149AA"/>
    <w:rsid w:val="00D1505F"/>
    <w:rsid w:val="00D1525D"/>
    <w:rsid w:val="00D1567E"/>
    <w:rsid w:val="00D17DE2"/>
    <w:rsid w:val="00D17FDB"/>
    <w:rsid w:val="00D2052E"/>
    <w:rsid w:val="00D20A3E"/>
    <w:rsid w:val="00D20C52"/>
    <w:rsid w:val="00D20C98"/>
    <w:rsid w:val="00D20CFA"/>
    <w:rsid w:val="00D2131D"/>
    <w:rsid w:val="00D21390"/>
    <w:rsid w:val="00D21A4F"/>
    <w:rsid w:val="00D21BD0"/>
    <w:rsid w:val="00D22AD7"/>
    <w:rsid w:val="00D23176"/>
    <w:rsid w:val="00D23408"/>
    <w:rsid w:val="00D23598"/>
    <w:rsid w:val="00D238CC"/>
    <w:rsid w:val="00D23BA8"/>
    <w:rsid w:val="00D244E5"/>
    <w:rsid w:val="00D24E12"/>
    <w:rsid w:val="00D24F34"/>
    <w:rsid w:val="00D25458"/>
    <w:rsid w:val="00D255EC"/>
    <w:rsid w:val="00D25652"/>
    <w:rsid w:val="00D25BB7"/>
    <w:rsid w:val="00D25C9A"/>
    <w:rsid w:val="00D26059"/>
    <w:rsid w:val="00D26585"/>
    <w:rsid w:val="00D26CA3"/>
    <w:rsid w:val="00D26D21"/>
    <w:rsid w:val="00D26D37"/>
    <w:rsid w:val="00D27514"/>
    <w:rsid w:val="00D277F2"/>
    <w:rsid w:val="00D310ED"/>
    <w:rsid w:val="00D311CA"/>
    <w:rsid w:val="00D311FE"/>
    <w:rsid w:val="00D31816"/>
    <w:rsid w:val="00D31C81"/>
    <w:rsid w:val="00D320DE"/>
    <w:rsid w:val="00D32432"/>
    <w:rsid w:val="00D329F8"/>
    <w:rsid w:val="00D3349E"/>
    <w:rsid w:val="00D33771"/>
    <w:rsid w:val="00D337A6"/>
    <w:rsid w:val="00D33F9B"/>
    <w:rsid w:val="00D34238"/>
    <w:rsid w:val="00D345B9"/>
    <w:rsid w:val="00D34EEE"/>
    <w:rsid w:val="00D35416"/>
    <w:rsid w:val="00D355D9"/>
    <w:rsid w:val="00D357B5"/>
    <w:rsid w:val="00D35B6B"/>
    <w:rsid w:val="00D35BA4"/>
    <w:rsid w:val="00D35F9C"/>
    <w:rsid w:val="00D3618C"/>
    <w:rsid w:val="00D3628D"/>
    <w:rsid w:val="00D36BA7"/>
    <w:rsid w:val="00D36D3F"/>
    <w:rsid w:val="00D37375"/>
    <w:rsid w:val="00D37397"/>
    <w:rsid w:val="00D37835"/>
    <w:rsid w:val="00D37BD2"/>
    <w:rsid w:val="00D37CF4"/>
    <w:rsid w:val="00D37FAE"/>
    <w:rsid w:val="00D40206"/>
    <w:rsid w:val="00D40519"/>
    <w:rsid w:val="00D40B30"/>
    <w:rsid w:val="00D40CC9"/>
    <w:rsid w:val="00D40CDA"/>
    <w:rsid w:val="00D4106C"/>
    <w:rsid w:val="00D418C8"/>
    <w:rsid w:val="00D41930"/>
    <w:rsid w:val="00D41A2E"/>
    <w:rsid w:val="00D41B1B"/>
    <w:rsid w:val="00D41C87"/>
    <w:rsid w:val="00D420E5"/>
    <w:rsid w:val="00D42851"/>
    <w:rsid w:val="00D42922"/>
    <w:rsid w:val="00D43A7E"/>
    <w:rsid w:val="00D4416F"/>
    <w:rsid w:val="00D451BB"/>
    <w:rsid w:val="00D453BB"/>
    <w:rsid w:val="00D45628"/>
    <w:rsid w:val="00D45C0E"/>
    <w:rsid w:val="00D45EAA"/>
    <w:rsid w:val="00D46220"/>
    <w:rsid w:val="00D468B7"/>
    <w:rsid w:val="00D46FC1"/>
    <w:rsid w:val="00D472EC"/>
    <w:rsid w:val="00D47A49"/>
    <w:rsid w:val="00D47B73"/>
    <w:rsid w:val="00D47C96"/>
    <w:rsid w:val="00D47EC3"/>
    <w:rsid w:val="00D50391"/>
    <w:rsid w:val="00D50631"/>
    <w:rsid w:val="00D5071D"/>
    <w:rsid w:val="00D509EE"/>
    <w:rsid w:val="00D50B9B"/>
    <w:rsid w:val="00D50D98"/>
    <w:rsid w:val="00D510FB"/>
    <w:rsid w:val="00D513E8"/>
    <w:rsid w:val="00D5143F"/>
    <w:rsid w:val="00D51516"/>
    <w:rsid w:val="00D5162B"/>
    <w:rsid w:val="00D51652"/>
    <w:rsid w:val="00D51DB6"/>
    <w:rsid w:val="00D51DC4"/>
    <w:rsid w:val="00D51FF2"/>
    <w:rsid w:val="00D5218F"/>
    <w:rsid w:val="00D522CB"/>
    <w:rsid w:val="00D5306D"/>
    <w:rsid w:val="00D5378A"/>
    <w:rsid w:val="00D53969"/>
    <w:rsid w:val="00D53A40"/>
    <w:rsid w:val="00D53A4F"/>
    <w:rsid w:val="00D54502"/>
    <w:rsid w:val="00D54576"/>
    <w:rsid w:val="00D54750"/>
    <w:rsid w:val="00D5489B"/>
    <w:rsid w:val="00D5504C"/>
    <w:rsid w:val="00D55543"/>
    <w:rsid w:val="00D555EC"/>
    <w:rsid w:val="00D55AF0"/>
    <w:rsid w:val="00D55F71"/>
    <w:rsid w:val="00D55F85"/>
    <w:rsid w:val="00D561DD"/>
    <w:rsid w:val="00D564A2"/>
    <w:rsid w:val="00D56968"/>
    <w:rsid w:val="00D56F2E"/>
    <w:rsid w:val="00D573A9"/>
    <w:rsid w:val="00D57669"/>
    <w:rsid w:val="00D57A09"/>
    <w:rsid w:val="00D60626"/>
    <w:rsid w:val="00D60896"/>
    <w:rsid w:val="00D60F91"/>
    <w:rsid w:val="00D61682"/>
    <w:rsid w:val="00D61846"/>
    <w:rsid w:val="00D618F5"/>
    <w:rsid w:val="00D6191D"/>
    <w:rsid w:val="00D61D0F"/>
    <w:rsid w:val="00D61E5C"/>
    <w:rsid w:val="00D623F5"/>
    <w:rsid w:val="00D625F8"/>
    <w:rsid w:val="00D628CC"/>
    <w:rsid w:val="00D62FAF"/>
    <w:rsid w:val="00D6344E"/>
    <w:rsid w:val="00D6372B"/>
    <w:rsid w:val="00D63FC3"/>
    <w:rsid w:val="00D64205"/>
    <w:rsid w:val="00D648C9"/>
    <w:rsid w:val="00D652BC"/>
    <w:rsid w:val="00D654A0"/>
    <w:rsid w:val="00D656F4"/>
    <w:rsid w:val="00D65869"/>
    <w:rsid w:val="00D662F8"/>
    <w:rsid w:val="00D676E6"/>
    <w:rsid w:val="00D67E15"/>
    <w:rsid w:val="00D67E76"/>
    <w:rsid w:val="00D67F4F"/>
    <w:rsid w:val="00D7075C"/>
    <w:rsid w:val="00D71271"/>
    <w:rsid w:val="00D713FE"/>
    <w:rsid w:val="00D715BF"/>
    <w:rsid w:val="00D71815"/>
    <w:rsid w:val="00D7190C"/>
    <w:rsid w:val="00D71D0A"/>
    <w:rsid w:val="00D71D52"/>
    <w:rsid w:val="00D71D63"/>
    <w:rsid w:val="00D71D6E"/>
    <w:rsid w:val="00D71DC8"/>
    <w:rsid w:val="00D72296"/>
    <w:rsid w:val="00D72384"/>
    <w:rsid w:val="00D72478"/>
    <w:rsid w:val="00D72970"/>
    <w:rsid w:val="00D72D89"/>
    <w:rsid w:val="00D72D97"/>
    <w:rsid w:val="00D7334B"/>
    <w:rsid w:val="00D7348E"/>
    <w:rsid w:val="00D734F0"/>
    <w:rsid w:val="00D73629"/>
    <w:rsid w:val="00D736A8"/>
    <w:rsid w:val="00D737BB"/>
    <w:rsid w:val="00D73878"/>
    <w:rsid w:val="00D741F4"/>
    <w:rsid w:val="00D74A48"/>
    <w:rsid w:val="00D74C23"/>
    <w:rsid w:val="00D74D88"/>
    <w:rsid w:val="00D7558E"/>
    <w:rsid w:val="00D75606"/>
    <w:rsid w:val="00D7560E"/>
    <w:rsid w:val="00D7574C"/>
    <w:rsid w:val="00D75A6B"/>
    <w:rsid w:val="00D75CD8"/>
    <w:rsid w:val="00D75D1A"/>
    <w:rsid w:val="00D76057"/>
    <w:rsid w:val="00D7618C"/>
    <w:rsid w:val="00D765EA"/>
    <w:rsid w:val="00D76716"/>
    <w:rsid w:val="00D767EA"/>
    <w:rsid w:val="00D76D83"/>
    <w:rsid w:val="00D77054"/>
    <w:rsid w:val="00D7763A"/>
    <w:rsid w:val="00D77F0A"/>
    <w:rsid w:val="00D80A43"/>
    <w:rsid w:val="00D80CCC"/>
    <w:rsid w:val="00D810B7"/>
    <w:rsid w:val="00D811AF"/>
    <w:rsid w:val="00D81240"/>
    <w:rsid w:val="00D813F0"/>
    <w:rsid w:val="00D815CA"/>
    <w:rsid w:val="00D81938"/>
    <w:rsid w:val="00D81D90"/>
    <w:rsid w:val="00D82267"/>
    <w:rsid w:val="00D822C7"/>
    <w:rsid w:val="00D823A7"/>
    <w:rsid w:val="00D8256B"/>
    <w:rsid w:val="00D82748"/>
    <w:rsid w:val="00D827E7"/>
    <w:rsid w:val="00D82C6B"/>
    <w:rsid w:val="00D82CED"/>
    <w:rsid w:val="00D82EDA"/>
    <w:rsid w:val="00D82F8F"/>
    <w:rsid w:val="00D83349"/>
    <w:rsid w:val="00D8357C"/>
    <w:rsid w:val="00D83671"/>
    <w:rsid w:val="00D83931"/>
    <w:rsid w:val="00D83C63"/>
    <w:rsid w:val="00D83E3C"/>
    <w:rsid w:val="00D83E48"/>
    <w:rsid w:val="00D84247"/>
    <w:rsid w:val="00D847A4"/>
    <w:rsid w:val="00D849E3"/>
    <w:rsid w:val="00D84D3E"/>
    <w:rsid w:val="00D851B0"/>
    <w:rsid w:val="00D854A9"/>
    <w:rsid w:val="00D85B2E"/>
    <w:rsid w:val="00D86489"/>
    <w:rsid w:val="00D865E2"/>
    <w:rsid w:val="00D86B87"/>
    <w:rsid w:val="00D86BB2"/>
    <w:rsid w:val="00D86C0A"/>
    <w:rsid w:val="00D86E1C"/>
    <w:rsid w:val="00D875A4"/>
    <w:rsid w:val="00D878AB"/>
    <w:rsid w:val="00D903D2"/>
    <w:rsid w:val="00D90611"/>
    <w:rsid w:val="00D908F4"/>
    <w:rsid w:val="00D90CB8"/>
    <w:rsid w:val="00D90FAA"/>
    <w:rsid w:val="00D91258"/>
    <w:rsid w:val="00D9148E"/>
    <w:rsid w:val="00D914CF"/>
    <w:rsid w:val="00D9209A"/>
    <w:rsid w:val="00D92183"/>
    <w:rsid w:val="00D92206"/>
    <w:rsid w:val="00D924BB"/>
    <w:rsid w:val="00D929A5"/>
    <w:rsid w:val="00D92AE4"/>
    <w:rsid w:val="00D92D18"/>
    <w:rsid w:val="00D92F6C"/>
    <w:rsid w:val="00D93338"/>
    <w:rsid w:val="00D93DDD"/>
    <w:rsid w:val="00D948A2"/>
    <w:rsid w:val="00D951B9"/>
    <w:rsid w:val="00D951F0"/>
    <w:rsid w:val="00D95489"/>
    <w:rsid w:val="00D9589D"/>
    <w:rsid w:val="00D9610D"/>
    <w:rsid w:val="00D96284"/>
    <w:rsid w:val="00D9630B"/>
    <w:rsid w:val="00D96387"/>
    <w:rsid w:val="00D96932"/>
    <w:rsid w:val="00D96D99"/>
    <w:rsid w:val="00D97B03"/>
    <w:rsid w:val="00D97CE3"/>
    <w:rsid w:val="00DA0030"/>
    <w:rsid w:val="00DA0629"/>
    <w:rsid w:val="00DA09B3"/>
    <w:rsid w:val="00DA09D9"/>
    <w:rsid w:val="00DA0F0D"/>
    <w:rsid w:val="00DA17E0"/>
    <w:rsid w:val="00DA191A"/>
    <w:rsid w:val="00DA1C84"/>
    <w:rsid w:val="00DA1D8E"/>
    <w:rsid w:val="00DA1FF8"/>
    <w:rsid w:val="00DA201E"/>
    <w:rsid w:val="00DA209A"/>
    <w:rsid w:val="00DA270C"/>
    <w:rsid w:val="00DA2856"/>
    <w:rsid w:val="00DA330C"/>
    <w:rsid w:val="00DA3430"/>
    <w:rsid w:val="00DA43B9"/>
    <w:rsid w:val="00DA46C0"/>
    <w:rsid w:val="00DA46CF"/>
    <w:rsid w:val="00DA4BCE"/>
    <w:rsid w:val="00DA4E35"/>
    <w:rsid w:val="00DA4F42"/>
    <w:rsid w:val="00DA5118"/>
    <w:rsid w:val="00DA6109"/>
    <w:rsid w:val="00DA61AA"/>
    <w:rsid w:val="00DA6343"/>
    <w:rsid w:val="00DA64C0"/>
    <w:rsid w:val="00DA6711"/>
    <w:rsid w:val="00DA78AF"/>
    <w:rsid w:val="00DA7B27"/>
    <w:rsid w:val="00DB03C2"/>
    <w:rsid w:val="00DB0565"/>
    <w:rsid w:val="00DB13ED"/>
    <w:rsid w:val="00DB17DF"/>
    <w:rsid w:val="00DB1B9C"/>
    <w:rsid w:val="00DB1CB9"/>
    <w:rsid w:val="00DB1D39"/>
    <w:rsid w:val="00DB21E2"/>
    <w:rsid w:val="00DB24E8"/>
    <w:rsid w:val="00DB273C"/>
    <w:rsid w:val="00DB2772"/>
    <w:rsid w:val="00DB2C2A"/>
    <w:rsid w:val="00DB2C39"/>
    <w:rsid w:val="00DB3608"/>
    <w:rsid w:val="00DB374A"/>
    <w:rsid w:val="00DB3760"/>
    <w:rsid w:val="00DB4083"/>
    <w:rsid w:val="00DB40F0"/>
    <w:rsid w:val="00DB441D"/>
    <w:rsid w:val="00DB4ACB"/>
    <w:rsid w:val="00DB4BD7"/>
    <w:rsid w:val="00DB4D7A"/>
    <w:rsid w:val="00DB52F5"/>
    <w:rsid w:val="00DB55BD"/>
    <w:rsid w:val="00DB561E"/>
    <w:rsid w:val="00DB5FB6"/>
    <w:rsid w:val="00DB6340"/>
    <w:rsid w:val="00DB6471"/>
    <w:rsid w:val="00DB7078"/>
    <w:rsid w:val="00DB718F"/>
    <w:rsid w:val="00DB726E"/>
    <w:rsid w:val="00DB79B4"/>
    <w:rsid w:val="00DB7BEA"/>
    <w:rsid w:val="00DB7F75"/>
    <w:rsid w:val="00DC0042"/>
    <w:rsid w:val="00DC020C"/>
    <w:rsid w:val="00DC03EF"/>
    <w:rsid w:val="00DC0720"/>
    <w:rsid w:val="00DC1388"/>
    <w:rsid w:val="00DC1538"/>
    <w:rsid w:val="00DC15F6"/>
    <w:rsid w:val="00DC172D"/>
    <w:rsid w:val="00DC1E19"/>
    <w:rsid w:val="00DC2387"/>
    <w:rsid w:val="00DC24B4"/>
    <w:rsid w:val="00DC260F"/>
    <w:rsid w:val="00DC2635"/>
    <w:rsid w:val="00DC2900"/>
    <w:rsid w:val="00DC2FF7"/>
    <w:rsid w:val="00DC343B"/>
    <w:rsid w:val="00DC3573"/>
    <w:rsid w:val="00DC3600"/>
    <w:rsid w:val="00DC470C"/>
    <w:rsid w:val="00DC4E4D"/>
    <w:rsid w:val="00DC5049"/>
    <w:rsid w:val="00DC50D2"/>
    <w:rsid w:val="00DC50E8"/>
    <w:rsid w:val="00DC5681"/>
    <w:rsid w:val="00DC5806"/>
    <w:rsid w:val="00DC5A29"/>
    <w:rsid w:val="00DC5AD0"/>
    <w:rsid w:val="00DC5B76"/>
    <w:rsid w:val="00DC5BB5"/>
    <w:rsid w:val="00DC5C3A"/>
    <w:rsid w:val="00DC6809"/>
    <w:rsid w:val="00DC6939"/>
    <w:rsid w:val="00DC6962"/>
    <w:rsid w:val="00DC6D2D"/>
    <w:rsid w:val="00DC6D96"/>
    <w:rsid w:val="00DC7520"/>
    <w:rsid w:val="00DC7737"/>
    <w:rsid w:val="00DC7B43"/>
    <w:rsid w:val="00DD047A"/>
    <w:rsid w:val="00DD04BE"/>
    <w:rsid w:val="00DD0C6A"/>
    <w:rsid w:val="00DD165D"/>
    <w:rsid w:val="00DD16F5"/>
    <w:rsid w:val="00DD19F8"/>
    <w:rsid w:val="00DD243B"/>
    <w:rsid w:val="00DD26B6"/>
    <w:rsid w:val="00DD27CC"/>
    <w:rsid w:val="00DD2C2D"/>
    <w:rsid w:val="00DD2D5D"/>
    <w:rsid w:val="00DD2DC0"/>
    <w:rsid w:val="00DD2DD9"/>
    <w:rsid w:val="00DD3116"/>
    <w:rsid w:val="00DD3176"/>
    <w:rsid w:val="00DD3418"/>
    <w:rsid w:val="00DD3A4E"/>
    <w:rsid w:val="00DD47F9"/>
    <w:rsid w:val="00DD4EA4"/>
    <w:rsid w:val="00DD4EC0"/>
    <w:rsid w:val="00DD5172"/>
    <w:rsid w:val="00DD52FE"/>
    <w:rsid w:val="00DD5B87"/>
    <w:rsid w:val="00DD5CC3"/>
    <w:rsid w:val="00DD5E18"/>
    <w:rsid w:val="00DD65E6"/>
    <w:rsid w:val="00DD6DA0"/>
    <w:rsid w:val="00DD6EAB"/>
    <w:rsid w:val="00DD6FFE"/>
    <w:rsid w:val="00DD7226"/>
    <w:rsid w:val="00DD79BD"/>
    <w:rsid w:val="00DD7D34"/>
    <w:rsid w:val="00DD7FB2"/>
    <w:rsid w:val="00DE009B"/>
    <w:rsid w:val="00DE01C2"/>
    <w:rsid w:val="00DE07DD"/>
    <w:rsid w:val="00DE0C33"/>
    <w:rsid w:val="00DE10FB"/>
    <w:rsid w:val="00DE1561"/>
    <w:rsid w:val="00DE1694"/>
    <w:rsid w:val="00DE1BD4"/>
    <w:rsid w:val="00DE1F1E"/>
    <w:rsid w:val="00DE256A"/>
    <w:rsid w:val="00DE25FA"/>
    <w:rsid w:val="00DE2A22"/>
    <w:rsid w:val="00DE2D5F"/>
    <w:rsid w:val="00DE347F"/>
    <w:rsid w:val="00DE37A2"/>
    <w:rsid w:val="00DE4049"/>
    <w:rsid w:val="00DE4426"/>
    <w:rsid w:val="00DE4712"/>
    <w:rsid w:val="00DE49D7"/>
    <w:rsid w:val="00DE4F91"/>
    <w:rsid w:val="00DE5057"/>
    <w:rsid w:val="00DE5312"/>
    <w:rsid w:val="00DE53B6"/>
    <w:rsid w:val="00DE5BEA"/>
    <w:rsid w:val="00DE5C88"/>
    <w:rsid w:val="00DE65AE"/>
    <w:rsid w:val="00DE676E"/>
    <w:rsid w:val="00DE6C40"/>
    <w:rsid w:val="00DE6D10"/>
    <w:rsid w:val="00DE7051"/>
    <w:rsid w:val="00DE717A"/>
    <w:rsid w:val="00DE718F"/>
    <w:rsid w:val="00DE742B"/>
    <w:rsid w:val="00DE799F"/>
    <w:rsid w:val="00DE7B8C"/>
    <w:rsid w:val="00DF0020"/>
    <w:rsid w:val="00DF0162"/>
    <w:rsid w:val="00DF02D7"/>
    <w:rsid w:val="00DF08E7"/>
    <w:rsid w:val="00DF0AFA"/>
    <w:rsid w:val="00DF0F9D"/>
    <w:rsid w:val="00DF16F2"/>
    <w:rsid w:val="00DF1941"/>
    <w:rsid w:val="00DF1CAE"/>
    <w:rsid w:val="00DF1D41"/>
    <w:rsid w:val="00DF1F2F"/>
    <w:rsid w:val="00DF231D"/>
    <w:rsid w:val="00DF282C"/>
    <w:rsid w:val="00DF34BE"/>
    <w:rsid w:val="00DF3A1F"/>
    <w:rsid w:val="00DF4127"/>
    <w:rsid w:val="00DF4268"/>
    <w:rsid w:val="00DF43D8"/>
    <w:rsid w:val="00DF45B3"/>
    <w:rsid w:val="00DF4A1B"/>
    <w:rsid w:val="00DF4ECF"/>
    <w:rsid w:val="00DF5244"/>
    <w:rsid w:val="00DF55CD"/>
    <w:rsid w:val="00DF5939"/>
    <w:rsid w:val="00DF597D"/>
    <w:rsid w:val="00DF59DB"/>
    <w:rsid w:val="00DF5EBC"/>
    <w:rsid w:val="00DF618C"/>
    <w:rsid w:val="00DF62FA"/>
    <w:rsid w:val="00DF634D"/>
    <w:rsid w:val="00DF69A9"/>
    <w:rsid w:val="00DF6F92"/>
    <w:rsid w:val="00DF6FA5"/>
    <w:rsid w:val="00DF7403"/>
    <w:rsid w:val="00DF7E33"/>
    <w:rsid w:val="00E0017F"/>
    <w:rsid w:val="00E001B4"/>
    <w:rsid w:val="00E005C2"/>
    <w:rsid w:val="00E00852"/>
    <w:rsid w:val="00E0093C"/>
    <w:rsid w:val="00E00E50"/>
    <w:rsid w:val="00E0100D"/>
    <w:rsid w:val="00E0123C"/>
    <w:rsid w:val="00E02066"/>
    <w:rsid w:val="00E0209B"/>
    <w:rsid w:val="00E0242C"/>
    <w:rsid w:val="00E0257D"/>
    <w:rsid w:val="00E026AB"/>
    <w:rsid w:val="00E02870"/>
    <w:rsid w:val="00E02D60"/>
    <w:rsid w:val="00E03CCB"/>
    <w:rsid w:val="00E0406A"/>
    <w:rsid w:val="00E0418B"/>
    <w:rsid w:val="00E04F3D"/>
    <w:rsid w:val="00E05075"/>
    <w:rsid w:val="00E053CE"/>
    <w:rsid w:val="00E06012"/>
    <w:rsid w:val="00E060EE"/>
    <w:rsid w:val="00E061E6"/>
    <w:rsid w:val="00E063BF"/>
    <w:rsid w:val="00E06CB1"/>
    <w:rsid w:val="00E077BC"/>
    <w:rsid w:val="00E0786A"/>
    <w:rsid w:val="00E078A2"/>
    <w:rsid w:val="00E07A21"/>
    <w:rsid w:val="00E07A8F"/>
    <w:rsid w:val="00E07DA3"/>
    <w:rsid w:val="00E101E7"/>
    <w:rsid w:val="00E1065C"/>
    <w:rsid w:val="00E1078E"/>
    <w:rsid w:val="00E1082B"/>
    <w:rsid w:val="00E10967"/>
    <w:rsid w:val="00E10B10"/>
    <w:rsid w:val="00E11006"/>
    <w:rsid w:val="00E1114B"/>
    <w:rsid w:val="00E111B5"/>
    <w:rsid w:val="00E111FF"/>
    <w:rsid w:val="00E11D31"/>
    <w:rsid w:val="00E121E6"/>
    <w:rsid w:val="00E122DF"/>
    <w:rsid w:val="00E124A7"/>
    <w:rsid w:val="00E12935"/>
    <w:rsid w:val="00E12952"/>
    <w:rsid w:val="00E13420"/>
    <w:rsid w:val="00E1378B"/>
    <w:rsid w:val="00E13EE1"/>
    <w:rsid w:val="00E141B1"/>
    <w:rsid w:val="00E144C1"/>
    <w:rsid w:val="00E14D6F"/>
    <w:rsid w:val="00E14DFC"/>
    <w:rsid w:val="00E150AC"/>
    <w:rsid w:val="00E154EC"/>
    <w:rsid w:val="00E15647"/>
    <w:rsid w:val="00E157D0"/>
    <w:rsid w:val="00E15941"/>
    <w:rsid w:val="00E16D76"/>
    <w:rsid w:val="00E16F65"/>
    <w:rsid w:val="00E17108"/>
    <w:rsid w:val="00E17204"/>
    <w:rsid w:val="00E1747A"/>
    <w:rsid w:val="00E1751C"/>
    <w:rsid w:val="00E1759D"/>
    <w:rsid w:val="00E17954"/>
    <w:rsid w:val="00E179AF"/>
    <w:rsid w:val="00E17E64"/>
    <w:rsid w:val="00E17E7A"/>
    <w:rsid w:val="00E204A1"/>
    <w:rsid w:val="00E20A29"/>
    <w:rsid w:val="00E20C1B"/>
    <w:rsid w:val="00E20E82"/>
    <w:rsid w:val="00E20F81"/>
    <w:rsid w:val="00E21ED1"/>
    <w:rsid w:val="00E220CB"/>
    <w:rsid w:val="00E2299E"/>
    <w:rsid w:val="00E22C46"/>
    <w:rsid w:val="00E22EF7"/>
    <w:rsid w:val="00E231FD"/>
    <w:rsid w:val="00E23460"/>
    <w:rsid w:val="00E24447"/>
    <w:rsid w:val="00E24AEB"/>
    <w:rsid w:val="00E24FDB"/>
    <w:rsid w:val="00E26AB6"/>
    <w:rsid w:val="00E271D4"/>
    <w:rsid w:val="00E272BE"/>
    <w:rsid w:val="00E277EE"/>
    <w:rsid w:val="00E27A39"/>
    <w:rsid w:val="00E27ACC"/>
    <w:rsid w:val="00E27DD9"/>
    <w:rsid w:val="00E27F7E"/>
    <w:rsid w:val="00E303AE"/>
    <w:rsid w:val="00E3061D"/>
    <w:rsid w:val="00E309AE"/>
    <w:rsid w:val="00E309CF"/>
    <w:rsid w:val="00E30C0A"/>
    <w:rsid w:val="00E31692"/>
    <w:rsid w:val="00E320AC"/>
    <w:rsid w:val="00E32132"/>
    <w:rsid w:val="00E321C0"/>
    <w:rsid w:val="00E323FF"/>
    <w:rsid w:val="00E32DF8"/>
    <w:rsid w:val="00E32E96"/>
    <w:rsid w:val="00E333F6"/>
    <w:rsid w:val="00E334CB"/>
    <w:rsid w:val="00E33567"/>
    <w:rsid w:val="00E33970"/>
    <w:rsid w:val="00E3409C"/>
    <w:rsid w:val="00E34213"/>
    <w:rsid w:val="00E346E7"/>
    <w:rsid w:val="00E34EB5"/>
    <w:rsid w:val="00E3591E"/>
    <w:rsid w:val="00E35B30"/>
    <w:rsid w:val="00E36A82"/>
    <w:rsid w:val="00E37D91"/>
    <w:rsid w:val="00E37FE6"/>
    <w:rsid w:val="00E4016D"/>
    <w:rsid w:val="00E40239"/>
    <w:rsid w:val="00E404AD"/>
    <w:rsid w:val="00E41346"/>
    <w:rsid w:val="00E4136B"/>
    <w:rsid w:val="00E415AB"/>
    <w:rsid w:val="00E41C78"/>
    <w:rsid w:val="00E4239C"/>
    <w:rsid w:val="00E4245E"/>
    <w:rsid w:val="00E42E07"/>
    <w:rsid w:val="00E42E64"/>
    <w:rsid w:val="00E4317B"/>
    <w:rsid w:val="00E43473"/>
    <w:rsid w:val="00E43786"/>
    <w:rsid w:val="00E4386D"/>
    <w:rsid w:val="00E43874"/>
    <w:rsid w:val="00E43882"/>
    <w:rsid w:val="00E43D0A"/>
    <w:rsid w:val="00E44183"/>
    <w:rsid w:val="00E443CB"/>
    <w:rsid w:val="00E44630"/>
    <w:rsid w:val="00E446BB"/>
    <w:rsid w:val="00E44729"/>
    <w:rsid w:val="00E44860"/>
    <w:rsid w:val="00E44B4F"/>
    <w:rsid w:val="00E44BCC"/>
    <w:rsid w:val="00E44FE9"/>
    <w:rsid w:val="00E450EA"/>
    <w:rsid w:val="00E45167"/>
    <w:rsid w:val="00E456A0"/>
    <w:rsid w:val="00E45A8A"/>
    <w:rsid w:val="00E45B44"/>
    <w:rsid w:val="00E45EEB"/>
    <w:rsid w:val="00E46984"/>
    <w:rsid w:val="00E46CE3"/>
    <w:rsid w:val="00E46E88"/>
    <w:rsid w:val="00E47165"/>
    <w:rsid w:val="00E473CF"/>
    <w:rsid w:val="00E4775D"/>
    <w:rsid w:val="00E47D0F"/>
    <w:rsid w:val="00E506E0"/>
    <w:rsid w:val="00E50DBF"/>
    <w:rsid w:val="00E5144C"/>
    <w:rsid w:val="00E51869"/>
    <w:rsid w:val="00E51927"/>
    <w:rsid w:val="00E51EE7"/>
    <w:rsid w:val="00E5203D"/>
    <w:rsid w:val="00E524B8"/>
    <w:rsid w:val="00E5290D"/>
    <w:rsid w:val="00E52B5C"/>
    <w:rsid w:val="00E52F77"/>
    <w:rsid w:val="00E53346"/>
    <w:rsid w:val="00E53752"/>
    <w:rsid w:val="00E5425F"/>
    <w:rsid w:val="00E54547"/>
    <w:rsid w:val="00E54DC4"/>
    <w:rsid w:val="00E54F58"/>
    <w:rsid w:val="00E5512B"/>
    <w:rsid w:val="00E55350"/>
    <w:rsid w:val="00E554D9"/>
    <w:rsid w:val="00E554E2"/>
    <w:rsid w:val="00E5592A"/>
    <w:rsid w:val="00E55C1B"/>
    <w:rsid w:val="00E55D38"/>
    <w:rsid w:val="00E55E0B"/>
    <w:rsid w:val="00E5613A"/>
    <w:rsid w:val="00E562A4"/>
    <w:rsid w:val="00E565D8"/>
    <w:rsid w:val="00E571E1"/>
    <w:rsid w:val="00E57637"/>
    <w:rsid w:val="00E57879"/>
    <w:rsid w:val="00E5789F"/>
    <w:rsid w:val="00E57DD4"/>
    <w:rsid w:val="00E60164"/>
    <w:rsid w:val="00E6046F"/>
    <w:rsid w:val="00E604DD"/>
    <w:rsid w:val="00E604E3"/>
    <w:rsid w:val="00E60534"/>
    <w:rsid w:val="00E60914"/>
    <w:rsid w:val="00E6093F"/>
    <w:rsid w:val="00E60A3A"/>
    <w:rsid w:val="00E60A8C"/>
    <w:rsid w:val="00E60BDE"/>
    <w:rsid w:val="00E612BB"/>
    <w:rsid w:val="00E6159B"/>
    <w:rsid w:val="00E6180C"/>
    <w:rsid w:val="00E6189E"/>
    <w:rsid w:val="00E62316"/>
    <w:rsid w:val="00E6259E"/>
    <w:rsid w:val="00E62733"/>
    <w:rsid w:val="00E629C7"/>
    <w:rsid w:val="00E62E86"/>
    <w:rsid w:val="00E63316"/>
    <w:rsid w:val="00E6358D"/>
    <w:rsid w:val="00E63637"/>
    <w:rsid w:val="00E636EC"/>
    <w:rsid w:val="00E63703"/>
    <w:rsid w:val="00E63BBB"/>
    <w:rsid w:val="00E64342"/>
    <w:rsid w:val="00E65117"/>
    <w:rsid w:val="00E65D30"/>
    <w:rsid w:val="00E664A6"/>
    <w:rsid w:val="00E667E5"/>
    <w:rsid w:val="00E66DBB"/>
    <w:rsid w:val="00E6757A"/>
    <w:rsid w:val="00E67A03"/>
    <w:rsid w:val="00E67CAA"/>
    <w:rsid w:val="00E67E4C"/>
    <w:rsid w:val="00E70519"/>
    <w:rsid w:val="00E7070A"/>
    <w:rsid w:val="00E7115F"/>
    <w:rsid w:val="00E711E4"/>
    <w:rsid w:val="00E714A7"/>
    <w:rsid w:val="00E71834"/>
    <w:rsid w:val="00E71C9F"/>
    <w:rsid w:val="00E71F0D"/>
    <w:rsid w:val="00E72345"/>
    <w:rsid w:val="00E72BEC"/>
    <w:rsid w:val="00E72F3F"/>
    <w:rsid w:val="00E73152"/>
    <w:rsid w:val="00E731A3"/>
    <w:rsid w:val="00E73943"/>
    <w:rsid w:val="00E74288"/>
    <w:rsid w:val="00E74326"/>
    <w:rsid w:val="00E746B6"/>
    <w:rsid w:val="00E746F2"/>
    <w:rsid w:val="00E7495E"/>
    <w:rsid w:val="00E7580E"/>
    <w:rsid w:val="00E75EB9"/>
    <w:rsid w:val="00E7631C"/>
    <w:rsid w:val="00E7645F"/>
    <w:rsid w:val="00E7687E"/>
    <w:rsid w:val="00E76979"/>
    <w:rsid w:val="00E769E0"/>
    <w:rsid w:val="00E771FB"/>
    <w:rsid w:val="00E77326"/>
    <w:rsid w:val="00E77563"/>
    <w:rsid w:val="00E77747"/>
    <w:rsid w:val="00E7789C"/>
    <w:rsid w:val="00E77B84"/>
    <w:rsid w:val="00E803D3"/>
    <w:rsid w:val="00E81A44"/>
    <w:rsid w:val="00E81AEB"/>
    <w:rsid w:val="00E81D22"/>
    <w:rsid w:val="00E82059"/>
    <w:rsid w:val="00E8229A"/>
    <w:rsid w:val="00E826EC"/>
    <w:rsid w:val="00E82937"/>
    <w:rsid w:val="00E835C2"/>
    <w:rsid w:val="00E836C3"/>
    <w:rsid w:val="00E8427A"/>
    <w:rsid w:val="00E842BF"/>
    <w:rsid w:val="00E84A69"/>
    <w:rsid w:val="00E84BE5"/>
    <w:rsid w:val="00E84C1B"/>
    <w:rsid w:val="00E84FFD"/>
    <w:rsid w:val="00E852D7"/>
    <w:rsid w:val="00E85D9D"/>
    <w:rsid w:val="00E865A4"/>
    <w:rsid w:val="00E86780"/>
    <w:rsid w:val="00E867BB"/>
    <w:rsid w:val="00E86BE1"/>
    <w:rsid w:val="00E86C6F"/>
    <w:rsid w:val="00E86F8E"/>
    <w:rsid w:val="00E877C2"/>
    <w:rsid w:val="00E877C7"/>
    <w:rsid w:val="00E87F36"/>
    <w:rsid w:val="00E87F92"/>
    <w:rsid w:val="00E90035"/>
    <w:rsid w:val="00E903CA"/>
    <w:rsid w:val="00E90976"/>
    <w:rsid w:val="00E90C4D"/>
    <w:rsid w:val="00E90D20"/>
    <w:rsid w:val="00E91347"/>
    <w:rsid w:val="00E91386"/>
    <w:rsid w:val="00E9144E"/>
    <w:rsid w:val="00E9195A"/>
    <w:rsid w:val="00E91F7B"/>
    <w:rsid w:val="00E91FB6"/>
    <w:rsid w:val="00E92862"/>
    <w:rsid w:val="00E92AE6"/>
    <w:rsid w:val="00E92B44"/>
    <w:rsid w:val="00E93E85"/>
    <w:rsid w:val="00E94058"/>
    <w:rsid w:val="00E94933"/>
    <w:rsid w:val="00E949A4"/>
    <w:rsid w:val="00E94C99"/>
    <w:rsid w:val="00E94D96"/>
    <w:rsid w:val="00E9512C"/>
    <w:rsid w:val="00E954A8"/>
    <w:rsid w:val="00E958FA"/>
    <w:rsid w:val="00E96001"/>
    <w:rsid w:val="00E963CE"/>
    <w:rsid w:val="00E969A7"/>
    <w:rsid w:val="00E96CB7"/>
    <w:rsid w:val="00E970A1"/>
    <w:rsid w:val="00E9728B"/>
    <w:rsid w:val="00E972C6"/>
    <w:rsid w:val="00E97326"/>
    <w:rsid w:val="00E9778E"/>
    <w:rsid w:val="00E97BA9"/>
    <w:rsid w:val="00E97EE8"/>
    <w:rsid w:val="00EA0091"/>
    <w:rsid w:val="00EA014A"/>
    <w:rsid w:val="00EA019B"/>
    <w:rsid w:val="00EA0263"/>
    <w:rsid w:val="00EA087D"/>
    <w:rsid w:val="00EA0EC4"/>
    <w:rsid w:val="00EA0F8E"/>
    <w:rsid w:val="00EA15D6"/>
    <w:rsid w:val="00EA1AC4"/>
    <w:rsid w:val="00EA2FB5"/>
    <w:rsid w:val="00EA3244"/>
    <w:rsid w:val="00EA374C"/>
    <w:rsid w:val="00EA3AB6"/>
    <w:rsid w:val="00EA3D59"/>
    <w:rsid w:val="00EA4375"/>
    <w:rsid w:val="00EA47D3"/>
    <w:rsid w:val="00EA4882"/>
    <w:rsid w:val="00EA49EA"/>
    <w:rsid w:val="00EA4EF3"/>
    <w:rsid w:val="00EA609C"/>
    <w:rsid w:val="00EA616D"/>
    <w:rsid w:val="00EA619C"/>
    <w:rsid w:val="00EA634D"/>
    <w:rsid w:val="00EA69A0"/>
    <w:rsid w:val="00EB02E7"/>
    <w:rsid w:val="00EB0B36"/>
    <w:rsid w:val="00EB1150"/>
    <w:rsid w:val="00EB129A"/>
    <w:rsid w:val="00EB155C"/>
    <w:rsid w:val="00EB1688"/>
    <w:rsid w:val="00EB1910"/>
    <w:rsid w:val="00EB2692"/>
    <w:rsid w:val="00EB3217"/>
    <w:rsid w:val="00EB3417"/>
    <w:rsid w:val="00EB3BB7"/>
    <w:rsid w:val="00EB3FEA"/>
    <w:rsid w:val="00EB4083"/>
    <w:rsid w:val="00EB41B8"/>
    <w:rsid w:val="00EB41FB"/>
    <w:rsid w:val="00EB464B"/>
    <w:rsid w:val="00EB46D4"/>
    <w:rsid w:val="00EB4A88"/>
    <w:rsid w:val="00EB55FE"/>
    <w:rsid w:val="00EB5755"/>
    <w:rsid w:val="00EB5C20"/>
    <w:rsid w:val="00EB5CA6"/>
    <w:rsid w:val="00EB6EF3"/>
    <w:rsid w:val="00EB71B3"/>
    <w:rsid w:val="00EB7567"/>
    <w:rsid w:val="00EB7825"/>
    <w:rsid w:val="00EB7899"/>
    <w:rsid w:val="00EB7A28"/>
    <w:rsid w:val="00EB7B54"/>
    <w:rsid w:val="00EB7B62"/>
    <w:rsid w:val="00EB7D60"/>
    <w:rsid w:val="00EC043E"/>
    <w:rsid w:val="00EC0551"/>
    <w:rsid w:val="00EC05FC"/>
    <w:rsid w:val="00EC079A"/>
    <w:rsid w:val="00EC18CC"/>
    <w:rsid w:val="00EC191F"/>
    <w:rsid w:val="00EC20D7"/>
    <w:rsid w:val="00EC2761"/>
    <w:rsid w:val="00EC2A0F"/>
    <w:rsid w:val="00EC3292"/>
    <w:rsid w:val="00EC345C"/>
    <w:rsid w:val="00EC38C7"/>
    <w:rsid w:val="00EC4085"/>
    <w:rsid w:val="00EC45DB"/>
    <w:rsid w:val="00EC46A0"/>
    <w:rsid w:val="00EC496A"/>
    <w:rsid w:val="00EC4BBC"/>
    <w:rsid w:val="00EC503D"/>
    <w:rsid w:val="00EC5411"/>
    <w:rsid w:val="00EC585A"/>
    <w:rsid w:val="00EC5E5D"/>
    <w:rsid w:val="00EC601E"/>
    <w:rsid w:val="00EC62CA"/>
    <w:rsid w:val="00EC6441"/>
    <w:rsid w:val="00EC7237"/>
    <w:rsid w:val="00EC76C3"/>
    <w:rsid w:val="00EC7D56"/>
    <w:rsid w:val="00ED017C"/>
    <w:rsid w:val="00ED0428"/>
    <w:rsid w:val="00ED062F"/>
    <w:rsid w:val="00ED0960"/>
    <w:rsid w:val="00ED09B1"/>
    <w:rsid w:val="00ED0F31"/>
    <w:rsid w:val="00ED1586"/>
    <w:rsid w:val="00ED1641"/>
    <w:rsid w:val="00ED16CC"/>
    <w:rsid w:val="00ED22AA"/>
    <w:rsid w:val="00ED2506"/>
    <w:rsid w:val="00ED29A3"/>
    <w:rsid w:val="00ED33B3"/>
    <w:rsid w:val="00ED3770"/>
    <w:rsid w:val="00ED388C"/>
    <w:rsid w:val="00ED3C4A"/>
    <w:rsid w:val="00ED3CC5"/>
    <w:rsid w:val="00ED3D84"/>
    <w:rsid w:val="00ED4289"/>
    <w:rsid w:val="00ED4C66"/>
    <w:rsid w:val="00ED5109"/>
    <w:rsid w:val="00ED5CB5"/>
    <w:rsid w:val="00ED5F1E"/>
    <w:rsid w:val="00ED5F64"/>
    <w:rsid w:val="00ED5F76"/>
    <w:rsid w:val="00ED6812"/>
    <w:rsid w:val="00ED6E54"/>
    <w:rsid w:val="00ED745A"/>
    <w:rsid w:val="00ED7534"/>
    <w:rsid w:val="00ED7AFB"/>
    <w:rsid w:val="00EE00AA"/>
    <w:rsid w:val="00EE00E4"/>
    <w:rsid w:val="00EE09B9"/>
    <w:rsid w:val="00EE0C7C"/>
    <w:rsid w:val="00EE0D8C"/>
    <w:rsid w:val="00EE102C"/>
    <w:rsid w:val="00EE13E1"/>
    <w:rsid w:val="00EE14C4"/>
    <w:rsid w:val="00EE16E5"/>
    <w:rsid w:val="00EE1967"/>
    <w:rsid w:val="00EE1A2F"/>
    <w:rsid w:val="00EE2118"/>
    <w:rsid w:val="00EE2610"/>
    <w:rsid w:val="00EE2A3C"/>
    <w:rsid w:val="00EE2A7D"/>
    <w:rsid w:val="00EE2B76"/>
    <w:rsid w:val="00EE3293"/>
    <w:rsid w:val="00EE3504"/>
    <w:rsid w:val="00EE379B"/>
    <w:rsid w:val="00EE3A28"/>
    <w:rsid w:val="00EE3BF3"/>
    <w:rsid w:val="00EE3C4C"/>
    <w:rsid w:val="00EE3C98"/>
    <w:rsid w:val="00EE3D7D"/>
    <w:rsid w:val="00EE3DD3"/>
    <w:rsid w:val="00EE4006"/>
    <w:rsid w:val="00EE45E7"/>
    <w:rsid w:val="00EE471F"/>
    <w:rsid w:val="00EE4975"/>
    <w:rsid w:val="00EE5B5C"/>
    <w:rsid w:val="00EE60A1"/>
    <w:rsid w:val="00EE6386"/>
    <w:rsid w:val="00EE6DA3"/>
    <w:rsid w:val="00EE6DF8"/>
    <w:rsid w:val="00EE6EE9"/>
    <w:rsid w:val="00EE7946"/>
    <w:rsid w:val="00EE7C57"/>
    <w:rsid w:val="00EE7CC7"/>
    <w:rsid w:val="00EF04A8"/>
    <w:rsid w:val="00EF055C"/>
    <w:rsid w:val="00EF0670"/>
    <w:rsid w:val="00EF0DBC"/>
    <w:rsid w:val="00EF0DF6"/>
    <w:rsid w:val="00EF1085"/>
    <w:rsid w:val="00EF12C5"/>
    <w:rsid w:val="00EF20F2"/>
    <w:rsid w:val="00EF219A"/>
    <w:rsid w:val="00EF26C8"/>
    <w:rsid w:val="00EF28F6"/>
    <w:rsid w:val="00EF2A44"/>
    <w:rsid w:val="00EF2F51"/>
    <w:rsid w:val="00EF2F8E"/>
    <w:rsid w:val="00EF307A"/>
    <w:rsid w:val="00EF33D0"/>
    <w:rsid w:val="00EF35A0"/>
    <w:rsid w:val="00EF3645"/>
    <w:rsid w:val="00EF3B8A"/>
    <w:rsid w:val="00EF3F39"/>
    <w:rsid w:val="00EF3F77"/>
    <w:rsid w:val="00EF4012"/>
    <w:rsid w:val="00EF4615"/>
    <w:rsid w:val="00EF46E9"/>
    <w:rsid w:val="00EF49B9"/>
    <w:rsid w:val="00EF4C95"/>
    <w:rsid w:val="00EF54BA"/>
    <w:rsid w:val="00EF5930"/>
    <w:rsid w:val="00EF5C50"/>
    <w:rsid w:val="00EF5F79"/>
    <w:rsid w:val="00EF5FBB"/>
    <w:rsid w:val="00EF6590"/>
    <w:rsid w:val="00EF68FB"/>
    <w:rsid w:val="00EF6ABB"/>
    <w:rsid w:val="00EF71FE"/>
    <w:rsid w:val="00EF771D"/>
    <w:rsid w:val="00EF7D0D"/>
    <w:rsid w:val="00F007BA"/>
    <w:rsid w:val="00F0110D"/>
    <w:rsid w:val="00F0119C"/>
    <w:rsid w:val="00F0142B"/>
    <w:rsid w:val="00F01739"/>
    <w:rsid w:val="00F01E30"/>
    <w:rsid w:val="00F01F13"/>
    <w:rsid w:val="00F022DC"/>
    <w:rsid w:val="00F0240C"/>
    <w:rsid w:val="00F02698"/>
    <w:rsid w:val="00F026CB"/>
    <w:rsid w:val="00F0322F"/>
    <w:rsid w:val="00F035B9"/>
    <w:rsid w:val="00F03861"/>
    <w:rsid w:val="00F042D6"/>
    <w:rsid w:val="00F046DD"/>
    <w:rsid w:val="00F0488A"/>
    <w:rsid w:val="00F049F2"/>
    <w:rsid w:val="00F04B0D"/>
    <w:rsid w:val="00F05028"/>
    <w:rsid w:val="00F052C4"/>
    <w:rsid w:val="00F0599E"/>
    <w:rsid w:val="00F05D70"/>
    <w:rsid w:val="00F06235"/>
    <w:rsid w:val="00F0682E"/>
    <w:rsid w:val="00F06A31"/>
    <w:rsid w:val="00F06E8F"/>
    <w:rsid w:val="00F07565"/>
    <w:rsid w:val="00F0794A"/>
    <w:rsid w:val="00F07AE5"/>
    <w:rsid w:val="00F10134"/>
    <w:rsid w:val="00F10D8F"/>
    <w:rsid w:val="00F11047"/>
    <w:rsid w:val="00F11937"/>
    <w:rsid w:val="00F11AD5"/>
    <w:rsid w:val="00F12341"/>
    <w:rsid w:val="00F12584"/>
    <w:rsid w:val="00F12E22"/>
    <w:rsid w:val="00F13895"/>
    <w:rsid w:val="00F138CE"/>
    <w:rsid w:val="00F13C5B"/>
    <w:rsid w:val="00F1418B"/>
    <w:rsid w:val="00F1425A"/>
    <w:rsid w:val="00F143B4"/>
    <w:rsid w:val="00F143BE"/>
    <w:rsid w:val="00F146DA"/>
    <w:rsid w:val="00F14AA3"/>
    <w:rsid w:val="00F14AA4"/>
    <w:rsid w:val="00F1504C"/>
    <w:rsid w:val="00F1509D"/>
    <w:rsid w:val="00F154F2"/>
    <w:rsid w:val="00F1568A"/>
    <w:rsid w:val="00F16153"/>
    <w:rsid w:val="00F167A3"/>
    <w:rsid w:val="00F16A08"/>
    <w:rsid w:val="00F16ADA"/>
    <w:rsid w:val="00F16B45"/>
    <w:rsid w:val="00F1709C"/>
    <w:rsid w:val="00F17AD1"/>
    <w:rsid w:val="00F17C86"/>
    <w:rsid w:val="00F17DBC"/>
    <w:rsid w:val="00F17EDD"/>
    <w:rsid w:val="00F205FD"/>
    <w:rsid w:val="00F20B0B"/>
    <w:rsid w:val="00F21345"/>
    <w:rsid w:val="00F215E3"/>
    <w:rsid w:val="00F218AF"/>
    <w:rsid w:val="00F21C84"/>
    <w:rsid w:val="00F21E94"/>
    <w:rsid w:val="00F22207"/>
    <w:rsid w:val="00F2242C"/>
    <w:rsid w:val="00F22585"/>
    <w:rsid w:val="00F22888"/>
    <w:rsid w:val="00F22FB7"/>
    <w:rsid w:val="00F23028"/>
    <w:rsid w:val="00F23585"/>
    <w:rsid w:val="00F23A15"/>
    <w:rsid w:val="00F24288"/>
    <w:rsid w:val="00F247E5"/>
    <w:rsid w:val="00F24870"/>
    <w:rsid w:val="00F24C46"/>
    <w:rsid w:val="00F24D2E"/>
    <w:rsid w:val="00F25198"/>
    <w:rsid w:val="00F25D74"/>
    <w:rsid w:val="00F2620E"/>
    <w:rsid w:val="00F2643D"/>
    <w:rsid w:val="00F2653E"/>
    <w:rsid w:val="00F268F5"/>
    <w:rsid w:val="00F26AE7"/>
    <w:rsid w:val="00F27445"/>
    <w:rsid w:val="00F274A1"/>
    <w:rsid w:val="00F2780C"/>
    <w:rsid w:val="00F27B55"/>
    <w:rsid w:val="00F3021F"/>
    <w:rsid w:val="00F3166A"/>
    <w:rsid w:val="00F316B4"/>
    <w:rsid w:val="00F3239B"/>
    <w:rsid w:val="00F323E7"/>
    <w:rsid w:val="00F327DE"/>
    <w:rsid w:val="00F328A5"/>
    <w:rsid w:val="00F32A6A"/>
    <w:rsid w:val="00F33146"/>
    <w:rsid w:val="00F33261"/>
    <w:rsid w:val="00F333D0"/>
    <w:rsid w:val="00F3355D"/>
    <w:rsid w:val="00F3400B"/>
    <w:rsid w:val="00F341A2"/>
    <w:rsid w:val="00F344A6"/>
    <w:rsid w:val="00F34A22"/>
    <w:rsid w:val="00F34C22"/>
    <w:rsid w:val="00F34CF5"/>
    <w:rsid w:val="00F35023"/>
    <w:rsid w:val="00F353F5"/>
    <w:rsid w:val="00F35FCB"/>
    <w:rsid w:val="00F36950"/>
    <w:rsid w:val="00F36A9E"/>
    <w:rsid w:val="00F36B07"/>
    <w:rsid w:val="00F3718A"/>
    <w:rsid w:val="00F37403"/>
    <w:rsid w:val="00F37745"/>
    <w:rsid w:val="00F37848"/>
    <w:rsid w:val="00F378DB"/>
    <w:rsid w:val="00F37901"/>
    <w:rsid w:val="00F37B4C"/>
    <w:rsid w:val="00F37D7C"/>
    <w:rsid w:val="00F40396"/>
    <w:rsid w:val="00F40411"/>
    <w:rsid w:val="00F407D5"/>
    <w:rsid w:val="00F40A22"/>
    <w:rsid w:val="00F40E5C"/>
    <w:rsid w:val="00F4129C"/>
    <w:rsid w:val="00F41919"/>
    <w:rsid w:val="00F41B61"/>
    <w:rsid w:val="00F41FC3"/>
    <w:rsid w:val="00F42615"/>
    <w:rsid w:val="00F4264F"/>
    <w:rsid w:val="00F426D6"/>
    <w:rsid w:val="00F42A3A"/>
    <w:rsid w:val="00F42C8D"/>
    <w:rsid w:val="00F43182"/>
    <w:rsid w:val="00F43C3B"/>
    <w:rsid w:val="00F44A8F"/>
    <w:rsid w:val="00F44F52"/>
    <w:rsid w:val="00F45282"/>
    <w:rsid w:val="00F45292"/>
    <w:rsid w:val="00F45458"/>
    <w:rsid w:val="00F458D0"/>
    <w:rsid w:val="00F45CCF"/>
    <w:rsid w:val="00F46299"/>
    <w:rsid w:val="00F462AE"/>
    <w:rsid w:val="00F4631E"/>
    <w:rsid w:val="00F464A0"/>
    <w:rsid w:val="00F46CF5"/>
    <w:rsid w:val="00F46E5E"/>
    <w:rsid w:val="00F47109"/>
    <w:rsid w:val="00F4733A"/>
    <w:rsid w:val="00F47540"/>
    <w:rsid w:val="00F4787C"/>
    <w:rsid w:val="00F5048A"/>
    <w:rsid w:val="00F506A8"/>
    <w:rsid w:val="00F506ED"/>
    <w:rsid w:val="00F50E92"/>
    <w:rsid w:val="00F513BA"/>
    <w:rsid w:val="00F51430"/>
    <w:rsid w:val="00F51530"/>
    <w:rsid w:val="00F51B28"/>
    <w:rsid w:val="00F51C29"/>
    <w:rsid w:val="00F51CF1"/>
    <w:rsid w:val="00F52824"/>
    <w:rsid w:val="00F52CAF"/>
    <w:rsid w:val="00F52D0E"/>
    <w:rsid w:val="00F52D3E"/>
    <w:rsid w:val="00F52D80"/>
    <w:rsid w:val="00F5316A"/>
    <w:rsid w:val="00F535DC"/>
    <w:rsid w:val="00F53E6E"/>
    <w:rsid w:val="00F53F7E"/>
    <w:rsid w:val="00F54575"/>
    <w:rsid w:val="00F546B1"/>
    <w:rsid w:val="00F54AE1"/>
    <w:rsid w:val="00F54EDD"/>
    <w:rsid w:val="00F5570C"/>
    <w:rsid w:val="00F559DB"/>
    <w:rsid w:val="00F55E4E"/>
    <w:rsid w:val="00F5610F"/>
    <w:rsid w:val="00F567FD"/>
    <w:rsid w:val="00F56911"/>
    <w:rsid w:val="00F56CA4"/>
    <w:rsid w:val="00F5738E"/>
    <w:rsid w:val="00F57707"/>
    <w:rsid w:val="00F57AF4"/>
    <w:rsid w:val="00F57DEA"/>
    <w:rsid w:val="00F60BAE"/>
    <w:rsid w:val="00F60EE6"/>
    <w:rsid w:val="00F61240"/>
    <w:rsid w:val="00F61D82"/>
    <w:rsid w:val="00F622DB"/>
    <w:rsid w:val="00F6241F"/>
    <w:rsid w:val="00F6264F"/>
    <w:rsid w:val="00F62682"/>
    <w:rsid w:val="00F62921"/>
    <w:rsid w:val="00F62FA2"/>
    <w:rsid w:val="00F63077"/>
    <w:rsid w:val="00F633F8"/>
    <w:rsid w:val="00F63765"/>
    <w:rsid w:val="00F6423F"/>
    <w:rsid w:val="00F644B2"/>
    <w:rsid w:val="00F644C7"/>
    <w:rsid w:val="00F648B6"/>
    <w:rsid w:val="00F64B42"/>
    <w:rsid w:val="00F64B5F"/>
    <w:rsid w:val="00F64E2B"/>
    <w:rsid w:val="00F653C0"/>
    <w:rsid w:val="00F6545E"/>
    <w:rsid w:val="00F65791"/>
    <w:rsid w:val="00F6581F"/>
    <w:rsid w:val="00F659E6"/>
    <w:rsid w:val="00F65B11"/>
    <w:rsid w:val="00F6654E"/>
    <w:rsid w:val="00F666C9"/>
    <w:rsid w:val="00F66A86"/>
    <w:rsid w:val="00F66C14"/>
    <w:rsid w:val="00F674E4"/>
    <w:rsid w:val="00F67535"/>
    <w:rsid w:val="00F67A9E"/>
    <w:rsid w:val="00F67C94"/>
    <w:rsid w:val="00F67CCC"/>
    <w:rsid w:val="00F67CCD"/>
    <w:rsid w:val="00F67E7C"/>
    <w:rsid w:val="00F70176"/>
    <w:rsid w:val="00F706B0"/>
    <w:rsid w:val="00F70C91"/>
    <w:rsid w:val="00F7113A"/>
    <w:rsid w:val="00F722D0"/>
    <w:rsid w:val="00F7233B"/>
    <w:rsid w:val="00F726E7"/>
    <w:rsid w:val="00F7272E"/>
    <w:rsid w:val="00F72AF3"/>
    <w:rsid w:val="00F730AC"/>
    <w:rsid w:val="00F73199"/>
    <w:rsid w:val="00F737B8"/>
    <w:rsid w:val="00F73F45"/>
    <w:rsid w:val="00F74297"/>
    <w:rsid w:val="00F745A8"/>
    <w:rsid w:val="00F74994"/>
    <w:rsid w:val="00F74B53"/>
    <w:rsid w:val="00F74CF2"/>
    <w:rsid w:val="00F74D60"/>
    <w:rsid w:val="00F75254"/>
    <w:rsid w:val="00F7645A"/>
    <w:rsid w:val="00F76EB4"/>
    <w:rsid w:val="00F76F81"/>
    <w:rsid w:val="00F772FB"/>
    <w:rsid w:val="00F774D9"/>
    <w:rsid w:val="00F77591"/>
    <w:rsid w:val="00F776CB"/>
    <w:rsid w:val="00F77C79"/>
    <w:rsid w:val="00F77F58"/>
    <w:rsid w:val="00F80137"/>
    <w:rsid w:val="00F80274"/>
    <w:rsid w:val="00F80734"/>
    <w:rsid w:val="00F8155E"/>
    <w:rsid w:val="00F819EE"/>
    <w:rsid w:val="00F8214F"/>
    <w:rsid w:val="00F83508"/>
    <w:rsid w:val="00F83FB9"/>
    <w:rsid w:val="00F84017"/>
    <w:rsid w:val="00F84B07"/>
    <w:rsid w:val="00F84B5E"/>
    <w:rsid w:val="00F84CF7"/>
    <w:rsid w:val="00F84CFC"/>
    <w:rsid w:val="00F855AB"/>
    <w:rsid w:val="00F85782"/>
    <w:rsid w:val="00F85949"/>
    <w:rsid w:val="00F8643E"/>
    <w:rsid w:val="00F86571"/>
    <w:rsid w:val="00F86863"/>
    <w:rsid w:val="00F86A14"/>
    <w:rsid w:val="00F873DA"/>
    <w:rsid w:val="00F87725"/>
    <w:rsid w:val="00F879CA"/>
    <w:rsid w:val="00F87C27"/>
    <w:rsid w:val="00F87DF9"/>
    <w:rsid w:val="00F905F8"/>
    <w:rsid w:val="00F90E8A"/>
    <w:rsid w:val="00F91AFE"/>
    <w:rsid w:val="00F91C99"/>
    <w:rsid w:val="00F91DA6"/>
    <w:rsid w:val="00F927A4"/>
    <w:rsid w:val="00F928E7"/>
    <w:rsid w:val="00F92B67"/>
    <w:rsid w:val="00F930A6"/>
    <w:rsid w:val="00F930ED"/>
    <w:rsid w:val="00F931D1"/>
    <w:rsid w:val="00F9363C"/>
    <w:rsid w:val="00F9397A"/>
    <w:rsid w:val="00F939FA"/>
    <w:rsid w:val="00F93FAD"/>
    <w:rsid w:val="00F94AC2"/>
    <w:rsid w:val="00F94CD0"/>
    <w:rsid w:val="00F95A25"/>
    <w:rsid w:val="00F96B46"/>
    <w:rsid w:val="00F96C97"/>
    <w:rsid w:val="00F96E99"/>
    <w:rsid w:val="00F9789A"/>
    <w:rsid w:val="00F978AD"/>
    <w:rsid w:val="00F979FB"/>
    <w:rsid w:val="00F97AE5"/>
    <w:rsid w:val="00FA01E8"/>
    <w:rsid w:val="00FA02F3"/>
    <w:rsid w:val="00FA058A"/>
    <w:rsid w:val="00FA06A8"/>
    <w:rsid w:val="00FA06D9"/>
    <w:rsid w:val="00FA0A12"/>
    <w:rsid w:val="00FA0F12"/>
    <w:rsid w:val="00FA1064"/>
    <w:rsid w:val="00FA169E"/>
    <w:rsid w:val="00FA1990"/>
    <w:rsid w:val="00FA1DE3"/>
    <w:rsid w:val="00FA1FA3"/>
    <w:rsid w:val="00FA2135"/>
    <w:rsid w:val="00FA2378"/>
    <w:rsid w:val="00FA25E8"/>
    <w:rsid w:val="00FA26C7"/>
    <w:rsid w:val="00FA2F1A"/>
    <w:rsid w:val="00FA3131"/>
    <w:rsid w:val="00FA3145"/>
    <w:rsid w:val="00FA3553"/>
    <w:rsid w:val="00FA35F7"/>
    <w:rsid w:val="00FA394A"/>
    <w:rsid w:val="00FA3961"/>
    <w:rsid w:val="00FA3F62"/>
    <w:rsid w:val="00FA41F6"/>
    <w:rsid w:val="00FA4381"/>
    <w:rsid w:val="00FA4594"/>
    <w:rsid w:val="00FA4A08"/>
    <w:rsid w:val="00FA4A61"/>
    <w:rsid w:val="00FA4F66"/>
    <w:rsid w:val="00FA5023"/>
    <w:rsid w:val="00FA5297"/>
    <w:rsid w:val="00FA614F"/>
    <w:rsid w:val="00FA61E3"/>
    <w:rsid w:val="00FA6395"/>
    <w:rsid w:val="00FA650E"/>
    <w:rsid w:val="00FA663E"/>
    <w:rsid w:val="00FA66AA"/>
    <w:rsid w:val="00FA6AF1"/>
    <w:rsid w:val="00FA6B7C"/>
    <w:rsid w:val="00FA6B7E"/>
    <w:rsid w:val="00FA6D6A"/>
    <w:rsid w:val="00FA7543"/>
    <w:rsid w:val="00FA7AED"/>
    <w:rsid w:val="00FA7C79"/>
    <w:rsid w:val="00FA7E13"/>
    <w:rsid w:val="00FB0381"/>
    <w:rsid w:val="00FB0492"/>
    <w:rsid w:val="00FB0773"/>
    <w:rsid w:val="00FB0928"/>
    <w:rsid w:val="00FB0A79"/>
    <w:rsid w:val="00FB0AE5"/>
    <w:rsid w:val="00FB1527"/>
    <w:rsid w:val="00FB159C"/>
    <w:rsid w:val="00FB15F9"/>
    <w:rsid w:val="00FB17BC"/>
    <w:rsid w:val="00FB1AE1"/>
    <w:rsid w:val="00FB2551"/>
    <w:rsid w:val="00FB29E2"/>
    <w:rsid w:val="00FB2A32"/>
    <w:rsid w:val="00FB2BA9"/>
    <w:rsid w:val="00FB353D"/>
    <w:rsid w:val="00FB4421"/>
    <w:rsid w:val="00FB4EF0"/>
    <w:rsid w:val="00FB4FE8"/>
    <w:rsid w:val="00FB52A2"/>
    <w:rsid w:val="00FB595B"/>
    <w:rsid w:val="00FB5C12"/>
    <w:rsid w:val="00FB5E57"/>
    <w:rsid w:val="00FB689D"/>
    <w:rsid w:val="00FB6C4E"/>
    <w:rsid w:val="00FB75EB"/>
    <w:rsid w:val="00FB76F4"/>
    <w:rsid w:val="00FB776B"/>
    <w:rsid w:val="00FB7EDA"/>
    <w:rsid w:val="00FC0316"/>
    <w:rsid w:val="00FC0F1E"/>
    <w:rsid w:val="00FC14FA"/>
    <w:rsid w:val="00FC2076"/>
    <w:rsid w:val="00FC20AD"/>
    <w:rsid w:val="00FC2123"/>
    <w:rsid w:val="00FC21F7"/>
    <w:rsid w:val="00FC231D"/>
    <w:rsid w:val="00FC2588"/>
    <w:rsid w:val="00FC2705"/>
    <w:rsid w:val="00FC36CC"/>
    <w:rsid w:val="00FC3A09"/>
    <w:rsid w:val="00FC3DC7"/>
    <w:rsid w:val="00FC406A"/>
    <w:rsid w:val="00FC4801"/>
    <w:rsid w:val="00FC509D"/>
    <w:rsid w:val="00FC515D"/>
    <w:rsid w:val="00FC5212"/>
    <w:rsid w:val="00FC5903"/>
    <w:rsid w:val="00FC5ADE"/>
    <w:rsid w:val="00FC604C"/>
    <w:rsid w:val="00FC6EA9"/>
    <w:rsid w:val="00FC712B"/>
    <w:rsid w:val="00FC7397"/>
    <w:rsid w:val="00FC7885"/>
    <w:rsid w:val="00FD0257"/>
    <w:rsid w:val="00FD03F1"/>
    <w:rsid w:val="00FD07CC"/>
    <w:rsid w:val="00FD09CF"/>
    <w:rsid w:val="00FD0D06"/>
    <w:rsid w:val="00FD0DF4"/>
    <w:rsid w:val="00FD1394"/>
    <w:rsid w:val="00FD16BB"/>
    <w:rsid w:val="00FD1C28"/>
    <w:rsid w:val="00FD1CAF"/>
    <w:rsid w:val="00FD1D25"/>
    <w:rsid w:val="00FD1EDC"/>
    <w:rsid w:val="00FD2225"/>
    <w:rsid w:val="00FD25D0"/>
    <w:rsid w:val="00FD2820"/>
    <w:rsid w:val="00FD2B48"/>
    <w:rsid w:val="00FD2C21"/>
    <w:rsid w:val="00FD2F0E"/>
    <w:rsid w:val="00FD3237"/>
    <w:rsid w:val="00FD328D"/>
    <w:rsid w:val="00FD32E0"/>
    <w:rsid w:val="00FD34C6"/>
    <w:rsid w:val="00FD3DC6"/>
    <w:rsid w:val="00FD4FF2"/>
    <w:rsid w:val="00FD539E"/>
    <w:rsid w:val="00FD53D7"/>
    <w:rsid w:val="00FD56A4"/>
    <w:rsid w:val="00FD59AA"/>
    <w:rsid w:val="00FD5AEE"/>
    <w:rsid w:val="00FD5C1E"/>
    <w:rsid w:val="00FD7AED"/>
    <w:rsid w:val="00FD7B47"/>
    <w:rsid w:val="00FD7C5B"/>
    <w:rsid w:val="00FD7CB7"/>
    <w:rsid w:val="00FD7EA2"/>
    <w:rsid w:val="00FE012B"/>
    <w:rsid w:val="00FE0836"/>
    <w:rsid w:val="00FE0C2D"/>
    <w:rsid w:val="00FE0D0E"/>
    <w:rsid w:val="00FE2517"/>
    <w:rsid w:val="00FE2611"/>
    <w:rsid w:val="00FE2E11"/>
    <w:rsid w:val="00FE2E27"/>
    <w:rsid w:val="00FE2E42"/>
    <w:rsid w:val="00FE2EBE"/>
    <w:rsid w:val="00FE2F4B"/>
    <w:rsid w:val="00FE33C9"/>
    <w:rsid w:val="00FE3793"/>
    <w:rsid w:val="00FE3EE5"/>
    <w:rsid w:val="00FE40B6"/>
    <w:rsid w:val="00FE40C1"/>
    <w:rsid w:val="00FE48AD"/>
    <w:rsid w:val="00FE497B"/>
    <w:rsid w:val="00FE5018"/>
    <w:rsid w:val="00FE53C3"/>
    <w:rsid w:val="00FE5454"/>
    <w:rsid w:val="00FE56FB"/>
    <w:rsid w:val="00FE5A00"/>
    <w:rsid w:val="00FE6024"/>
    <w:rsid w:val="00FE608D"/>
    <w:rsid w:val="00FE60ED"/>
    <w:rsid w:val="00FE644B"/>
    <w:rsid w:val="00FE646E"/>
    <w:rsid w:val="00FE672F"/>
    <w:rsid w:val="00FE6932"/>
    <w:rsid w:val="00FE6B74"/>
    <w:rsid w:val="00FE6EDF"/>
    <w:rsid w:val="00FE7167"/>
    <w:rsid w:val="00FE7351"/>
    <w:rsid w:val="00FE7370"/>
    <w:rsid w:val="00FE73AE"/>
    <w:rsid w:val="00FE77B3"/>
    <w:rsid w:val="00FE7F97"/>
    <w:rsid w:val="00FF00DC"/>
    <w:rsid w:val="00FF0CEC"/>
    <w:rsid w:val="00FF0E61"/>
    <w:rsid w:val="00FF16F4"/>
    <w:rsid w:val="00FF1B59"/>
    <w:rsid w:val="00FF25D3"/>
    <w:rsid w:val="00FF2DA9"/>
    <w:rsid w:val="00FF3EF8"/>
    <w:rsid w:val="00FF40E3"/>
    <w:rsid w:val="00FF4136"/>
    <w:rsid w:val="00FF4545"/>
    <w:rsid w:val="00FF4BB0"/>
    <w:rsid w:val="00FF4E05"/>
    <w:rsid w:val="00FF53DA"/>
    <w:rsid w:val="00FF5444"/>
    <w:rsid w:val="00FF57AE"/>
    <w:rsid w:val="00FF5808"/>
    <w:rsid w:val="00FF5EF1"/>
    <w:rsid w:val="00FF654F"/>
    <w:rsid w:val="00FF684B"/>
    <w:rsid w:val="00FF6CF6"/>
    <w:rsid w:val="00FF7079"/>
    <w:rsid w:val="00FF7250"/>
    <w:rsid w:val="00FF7418"/>
    <w:rsid w:val="00FF7B86"/>
    <w:rsid w:val="00FF7C81"/>
    <w:rsid w:val="35FE577D"/>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97F94"/>
  <w15:chartTrackingRefBased/>
  <w15:docId w15:val="{85DF6FEC-ADC6-40DA-A08D-214FAB8F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BF3"/>
    <w:pPr>
      <w:jc w:val="both"/>
    </w:pPr>
    <w:rPr>
      <w:rFonts w:ascii="Calibri" w:eastAsia="Calibri" w:hAnsi="Calibri" w:cs="Calibri"/>
      <w:lang w:val="en-AU" w:eastAsia="es-CO"/>
    </w:rPr>
  </w:style>
  <w:style w:type="paragraph" w:styleId="Heading1">
    <w:name w:val="heading 1"/>
    <w:basedOn w:val="Normal"/>
    <w:next w:val="Normal"/>
    <w:link w:val="Heading1Char"/>
    <w:uiPriority w:val="9"/>
    <w:qFormat/>
    <w:rsid w:val="006F1756"/>
    <w:pPr>
      <w:keepNext/>
      <w:keepLines/>
      <w:numPr>
        <w:numId w:val="12"/>
      </w:numPr>
      <w:spacing w:before="480" w:after="360"/>
      <w:ind w:left="680" w:hanging="680"/>
      <w:outlineLvl w:val="0"/>
    </w:pPr>
    <w:rPr>
      <w:color w:val="2F5496"/>
      <w:sz w:val="38"/>
      <w:szCs w:val="32"/>
    </w:rPr>
  </w:style>
  <w:style w:type="paragraph" w:styleId="Heading2">
    <w:name w:val="heading 2"/>
    <w:basedOn w:val="Normal"/>
    <w:next w:val="Normal"/>
    <w:link w:val="Heading2Char"/>
    <w:uiPriority w:val="9"/>
    <w:unhideWhenUsed/>
    <w:qFormat/>
    <w:rsid w:val="00C528FF"/>
    <w:pPr>
      <w:keepNext/>
      <w:keepLines/>
      <w:numPr>
        <w:ilvl w:val="1"/>
        <w:numId w:val="12"/>
      </w:numPr>
      <w:spacing w:before="480" w:after="280"/>
      <w:ind w:left="680" w:hanging="680"/>
      <w:outlineLvl w:val="1"/>
    </w:pPr>
    <w:rPr>
      <w:color w:val="2F5496"/>
      <w:sz w:val="32"/>
      <w:szCs w:val="26"/>
    </w:rPr>
  </w:style>
  <w:style w:type="paragraph" w:styleId="Heading3">
    <w:name w:val="heading 3"/>
    <w:basedOn w:val="Normal"/>
    <w:next w:val="Normal"/>
    <w:link w:val="Heading3Char"/>
    <w:uiPriority w:val="9"/>
    <w:unhideWhenUsed/>
    <w:qFormat/>
    <w:rsid w:val="006F1756"/>
    <w:pPr>
      <w:keepNext/>
      <w:keepLines/>
      <w:numPr>
        <w:ilvl w:val="2"/>
        <w:numId w:val="12"/>
      </w:numPr>
      <w:spacing w:before="280" w:after="200"/>
      <w:ind w:left="794" w:hanging="794"/>
      <w:outlineLvl w:val="2"/>
    </w:pPr>
    <w:rPr>
      <w:color w:val="2F5496"/>
      <w:sz w:val="24"/>
      <w:szCs w:val="24"/>
    </w:rPr>
  </w:style>
  <w:style w:type="paragraph" w:styleId="Heading4">
    <w:name w:val="heading 4"/>
    <w:basedOn w:val="Normal"/>
    <w:next w:val="Normal"/>
    <w:link w:val="Heading4Char"/>
    <w:uiPriority w:val="9"/>
    <w:unhideWhenUsed/>
    <w:qFormat/>
    <w:rsid w:val="00EE3A28"/>
    <w:pPr>
      <w:keepNext/>
      <w:keepLines/>
      <w:numPr>
        <w:ilvl w:val="3"/>
        <w:numId w:val="12"/>
      </w:numPr>
      <w:spacing w:before="200" w:line="240" w:lineRule="auto"/>
      <w:outlineLvl w:val="3"/>
    </w:pPr>
    <w:rPr>
      <w:i/>
      <w:color w:val="4472C4"/>
    </w:rPr>
  </w:style>
  <w:style w:type="paragraph" w:styleId="Heading5">
    <w:name w:val="heading 5"/>
    <w:basedOn w:val="Normal"/>
    <w:next w:val="Normal"/>
    <w:link w:val="Heading5Char"/>
    <w:uiPriority w:val="9"/>
    <w:semiHidden/>
    <w:unhideWhenUsed/>
    <w:qFormat/>
    <w:pPr>
      <w:keepNext/>
      <w:keepLines/>
      <w:numPr>
        <w:ilvl w:val="4"/>
        <w:numId w:val="12"/>
      </w:numPr>
      <w:spacing w:before="220" w:after="40"/>
      <w:outlineLvl w:val="4"/>
    </w:pPr>
    <w:rPr>
      <w:b/>
    </w:rPr>
  </w:style>
  <w:style w:type="paragraph" w:styleId="Heading6">
    <w:name w:val="heading 6"/>
    <w:basedOn w:val="Normal"/>
    <w:next w:val="Normal"/>
    <w:link w:val="Heading6Char"/>
    <w:uiPriority w:val="9"/>
    <w:semiHidden/>
    <w:unhideWhenUsed/>
    <w:qFormat/>
    <w:pPr>
      <w:keepNext/>
      <w:keepLines/>
      <w:numPr>
        <w:ilvl w:val="5"/>
        <w:numId w:val="12"/>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734F1"/>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34F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34F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E24E3"/>
    <w:pPr>
      <w:tabs>
        <w:tab w:val="right" w:leader="dot" w:pos="8828"/>
      </w:tabs>
      <w:spacing w:before="120" w:after="0"/>
    </w:pPr>
    <w:rPr>
      <w:rFonts w:cstheme="minorHAnsi"/>
      <w:b/>
      <w:bCs/>
      <w:i/>
      <w:iCs/>
      <w:sz w:val="24"/>
      <w:szCs w:val="24"/>
    </w:rPr>
  </w:style>
  <w:style w:type="paragraph" w:styleId="TOC2">
    <w:name w:val="toc 2"/>
    <w:basedOn w:val="Normal"/>
    <w:next w:val="Normal"/>
    <w:autoRedefine/>
    <w:uiPriority w:val="39"/>
    <w:unhideWhenUsed/>
    <w:rsid w:val="004E24E3"/>
    <w:pPr>
      <w:tabs>
        <w:tab w:val="left" w:pos="880"/>
        <w:tab w:val="right" w:leader="dot" w:pos="8828"/>
      </w:tabs>
      <w:spacing w:before="120" w:after="0"/>
      <w:ind w:left="220"/>
    </w:pPr>
    <w:rPr>
      <w:rFonts w:cstheme="minorHAnsi"/>
      <w:b/>
      <w:bCs/>
    </w:rPr>
  </w:style>
  <w:style w:type="paragraph" w:styleId="BalloonText">
    <w:name w:val="Balloon Text"/>
    <w:basedOn w:val="Normal"/>
    <w:link w:val="BalloonTextChar"/>
    <w:uiPriority w:val="99"/>
    <w:semiHidden/>
    <w:unhideWhenUsed/>
    <w:rsid w:val="00E62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59E"/>
    <w:rPr>
      <w:rFonts w:ascii="Segoe UI" w:hAnsi="Segoe UI" w:cs="Segoe UI"/>
      <w:sz w:val="18"/>
      <w:szCs w:val="18"/>
    </w:rPr>
  </w:style>
  <w:style w:type="character" w:styleId="Hyperlink">
    <w:name w:val="Hyperlink"/>
    <w:basedOn w:val="DefaultParagraphFont"/>
    <w:uiPriority w:val="99"/>
    <w:unhideWhenUsed/>
    <w:rsid w:val="007A71A5"/>
    <w:rPr>
      <w:color w:val="0000FF"/>
      <w:u w:val="single"/>
    </w:rPr>
  </w:style>
  <w:style w:type="paragraph" w:styleId="ListParagraph">
    <w:name w:val="List Paragraph"/>
    <w:basedOn w:val="Normal"/>
    <w:uiPriority w:val="34"/>
    <w:qFormat/>
    <w:rsid w:val="00070A57"/>
    <w:pPr>
      <w:spacing w:line="256" w:lineRule="auto"/>
      <w:ind w:left="720"/>
      <w:contextualSpacing/>
    </w:pPr>
  </w:style>
  <w:style w:type="character" w:styleId="UnresolvedMention">
    <w:name w:val="Unresolved Mention"/>
    <w:basedOn w:val="DefaultParagraphFont"/>
    <w:uiPriority w:val="99"/>
    <w:semiHidden/>
    <w:unhideWhenUsed/>
    <w:rsid w:val="00624956"/>
    <w:rPr>
      <w:color w:val="605E5C"/>
      <w:shd w:val="clear" w:color="auto" w:fill="E1DFDD"/>
    </w:rPr>
  </w:style>
  <w:style w:type="character" w:styleId="CommentReference">
    <w:name w:val="annotation reference"/>
    <w:basedOn w:val="DefaultParagraphFont"/>
    <w:uiPriority w:val="99"/>
    <w:semiHidden/>
    <w:unhideWhenUsed/>
    <w:rsid w:val="001311E5"/>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1311E5"/>
    <w:rPr>
      <w:rFonts w:ascii="Calibri" w:eastAsia="Calibri" w:hAnsi="Calibri" w:cs="Calibri"/>
      <w:sz w:val="20"/>
      <w:szCs w:val="20"/>
      <w:lang w:val="en-US" w:eastAsia="es-CO"/>
    </w:rPr>
  </w:style>
  <w:style w:type="paragraph" w:styleId="FootnoteText">
    <w:name w:val="footnote text"/>
    <w:basedOn w:val="Normal"/>
    <w:link w:val="FootnoteTextChar"/>
    <w:uiPriority w:val="99"/>
    <w:unhideWhenUsed/>
    <w:rsid w:val="001311E5"/>
    <w:pPr>
      <w:spacing w:after="0" w:line="240" w:lineRule="auto"/>
    </w:pPr>
    <w:rPr>
      <w:sz w:val="20"/>
      <w:szCs w:val="20"/>
    </w:rPr>
  </w:style>
  <w:style w:type="character" w:customStyle="1" w:styleId="FootnoteTextChar">
    <w:name w:val="Footnote Text Char"/>
    <w:basedOn w:val="DefaultParagraphFont"/>
    <w:link w:val="FootnoteText"/>
    <w:uiPriority w:val="99"/>
    <w:rsid w:val="001311E5"/>
    <w:rPr>
      <w:sz w:val="20"/>
      <w:szCs w:val="20"/>
    </w:rPr>
  </w:style>
  <w:style w:type="character" w:styleId="FootnoteReference">
    <w:name w:val="footnote reference"/>
    <w:basedOn w:val="DefaultParagraphFont"/>
    <w:uiPriority w:val="99"/>
    <w:unhideWhenUsed/>
    <w:rsid w:val="001311E5"/>
    <w:rPr>
      <w:vertAlign w:val="superscript"/>
    </w:rPr>
  </w:style>
  <w:style w:type="character" w:customStyle="1" w:styleId="Heading1Char">
    <w:name w:val="Heading 1 Char"/>
    <w:basedOn w:val="DefaultParagraphFont"/>
    <w:link w:val="Heading1"/>
    <w:uiPriority w:val="9"/>
    <w:rsid w:val="006F1756"/>
    <w:rPr>
      <w:rFonts w:ascii="Calibri" w:eastAsia="Calibri" w:hAnsi="Calibri" w:cs="Calibri"/>
      <w:color w:val="2F5496"/>
      <w:sz w:val="38"/>
      <w:szCs w:val="32"/>
      <w:lang w:val="en-AU" w:eastAsia="es-CO"/>
    </w:rPr>
  </w:style>
  <w:style w:type="character" w:customStyle="1" w:styleId="Heading2Char">
    <w:name w:val="Heading 2 Char"/>
    <w:basedOn w:val="DefaultParagraphFont"/>
    <w:link w:val="Heading2"/>
    <w:uiPriority w:val="9"/>
    <w:rsid w:val="00C528FF"/>
    <w:rPr>
      <w:rFonts w:ascii="Calibri" w:eastAsia="Calibri" w:hAnsi="Calibri" w:cs="Calibri"/>
      <w:color w:val="2F5496"/>
      <w:sz w:val="32"/>
      <w:szCs w:val="26"/>
      <w:lang w:val="en-AU" w:eastAsia="es-CO"/>
    </w:rPr>
  </w:style>
  <w:style w:type="paragraph" w:customStyle="1" w:styleId="Default">
    <w:name w:val="Default"/>
    <w:rsid w:val="00A02859"/>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6F1756"/>
    <w:rPr>
      <w:rFonts w:ascii="Calibri" w:eastAsia="Calibri" w:hAnsi="Calibri" w:cs="Calibri"/>
      <w:color w:val="2F5496"/>
      <w:sz w:val="24"/>
      <w:szCs w:val="24"/>
      <w:lang w:val="en-AU" w:eastAsia="es-CO"/>
    </w:rPr>
  </w:style>
  <w:style w:type="paragraph" w:styleId="Header">
    <w:name w:val="header"/>
    <w:basedOn w:val="Normal"/>
    <w:link w:val="HeaderChar"/>
    <w:uiPriority w:val="99"/>
    <w:unhideWhenUsed/>
    <w:rsid w:val="001A4F5A"/>
    <w:pPr>
      <w:tabs>
        <w:tab w:val="center" w:pos="4419"/>
        <w:tab w:val="right" w:pos="8838"/>
      </w:tabs>
      <w:spacing w:after="0" w:line="240" w:lineRule="auto"/>
    </w:pPr>
  </w:style>
  <w:style w:type="character" w:customStyle="1" w:styleId="HeaderChar">
    <w:name w:val="Header Char"/>
    <w:basedOn w:val="DefaultParagraphFont"/>
    <w:link w:val="Header"/>
    <w:uiPriority w:val="99"/>
    <w:rsid w:val="001A4F5A"/>
  </w:style>
  <w:style w:type="paragraph" w:styleId="Footer">
    <w:name w:val="footer"/>
    <w:basedOn w:val="Normal"/>
    <w:link w:val="FooterChar"/>
    <w:uiPriority w:val="99"/>
    <w:unhideWhenUsed/>
    <w:rsid w:val="001A4F5A"/>
    <w:pPr>
      <w:tabs>
        <w:tab w:val="center" w:pos="4419"/>
        <w:tab w:val="right" w:pos="8838"/>
      </w:tabs>
      <w:spacing w:after="0" w:line="240" w:lineRule="auto"/>
    </w:pPr>
  </w:style>
  <w:style w:type="character" w:customStyle="1" w:styleId="FooterChar">
    <w:name w:val="Footer Char"/>
    <w:basedOn w:val="DefaultParagraphFont"/>
    <w:link w:val="Footer"/>
    <w:uiPriority w:val="99"/>
    <w:rsid w:val="001A4F5A"/>
  </w:style>
  <w:style w:type="paragraph" w:styleId="NormalWeb">
    <w:name w:val="Normal (Web)"/>
    <w:basedOn w:val="Normal"/>
    <w:uiPriority w:val="99"/>
    <w:unhideWhenUsed/>
    <w:rsid w:val="00D20CF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A290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290D"/>
    <w:rPr>
      <w:rFonts w:ascii="Consolas" w:hAnsi="Consolas"/>
      <w:sz w:val="20"/>
      <w:szCs w:val="20"/>
    </w:rPr>
  </w:style>
  <w:style w:type="paragraph" w:styleId="Caption">
    <w:name w:val="caption"/>
    <w:basedOn w:val="Normal"/>
    <w:next w:val="Normal"/>
    <w:uiPriority w:val="35"/>
    <w:unhideWhenUsed/>
    <w:qFormat/>
    <w:rsid w:val="009961F3"/>
    <w:pPr>
      <w:keepNext/>
      <w:spacing w:after="80" w:line="240" w:lineRule="auto"/>
    </w:pPr>
    <w:rPr>
      <w:b/>
      <w:bCs/>
      <w:color w:val="2F5496" w:themeColor="accent1" w:themeShade="BF"/>
    </w:rPr>
  </w:style>
  <w:style w:type="character" w:styleId="FollowedHyperlink">
    <w:name w:val="FollowedHyperlink"/>
    <w:basedOn w:val="DefaultParagraphFont"/>
    <w:uiPriority w:val="99"/>
    <w:semiHidden/>
    <w:unhideWhenUsed/>
    <w:rsid w:val="00FD09CF"/>
    <w:rPr>
      <w:color w:val="954F72" w:themeColor="followedHyperlink"/>
      <w:u w:val="single"/>
    </w:rPr>
  </w:style>
  <w:style w:type="paragraph" w:styleId="TOCHeading">
    <w:name w:val="TOC Heading"/>
    <w:basedOn w:val="Heading1"/>
    <w:next w:val="Normal"/>
    <w:uiPriority w:val="39"/>
    <w:unhideWhenUsed/>
    <w:qFormat/>
    <w:rsid w:val="00C71E07"/>
    <w:pPr>
      <w:ind w:left="0" w:firstLine="0"/>
      <w:outlineLvl w:val="9"/>
    </w:pPr>
  </w:style>
  <w:style w:type="paragraph" w:styleId="TOC3">
    <w:name w:val="toc 3"/>
    <w:basedOn w:val="Normal"/>
    <w:next w:val="Normal"/>
    <w:autoRedefine/>
    <w:uiPriority w:val="39"/>
    <w:unhideWhenUsed/>
    <w:rsid w:val="00DC260F"/>
    <w:pPr>
      <w:tabs>
        <w:tab w:val="left" w:pos="1100"/>
        <w:tab w:val="right" w:leader="dot" w:pos="8494"/>
      </w:tabs>
      <w:spacing w:after="0"/>
      <w:ind w:left="440"/>
    </w:pPr>
    <w:rPr>
      <w:rFonts w:cstheme="minorHAnsi"/>
      <w:sz w:val="20"/>
      <w:szCs w:val="20"/>
    </w:rPr>
  </w:style>
  <w:style w:type="paragraph" w:styleId="Title">
    <w:name w:val="Title"/>
    <w:basedOn w:val="Normal"/>
    <w:next w:val="Normal"/>
    <w:link w:val="TitleChar"/>
    <w:uiPriority w:val="10"/>
    <w:qFormat/>
    <w:pPr>
      <w:spacing w:after="0" w:line="240" w:lineRule="auto"/>
      <w:jc w:val="center"/>
    </w:pPr>
    <w:rPr>
      <w:b/>
      <w:sz w:val="56"/>
      <w:szCs w:val="56"/>
    </w:rPr>
  </w:style>
  <w:style w:type="character" w:customStyle="1" w:styleId="TitleChar">
    <w:name w:val="Title Char"/>
    <w:basedOn w:val="DefaultParagraphFont"/>
    <w:link w:val="Title"/>
    <w:uiPriority w:val="10"/>
    <w:rsid w:val="00B54FA1"/>
    <w:rPr>
      <w:rFonts w:ascii="Calibri" w:eastAsia="Calibri" w:hAnsi="Calibri" w:cs="Calibri"/>
      <w:b/>
      <w:sz w:val="56"/>
      <w:szCs w:val="56"/>
      <w:lang w:val="en-US" w:eastAsia="es-CO"/>
    </w:rPr>
  </w:style>
  <w:style w:type="paragraph" w:customStyle="1" w:styleId="Luxondate">
    <w:name w:val="Luxon date"/>
    <w:link w:val="LuxondateChar"/>
    <w:qFormat/>
    <w:rsid w:val="00B54FA1"/>
    <w:pPr>
      <w:spacing w:after="0" w:line="240" w:lineRule="auto"/>
      <w:jc w:val="center"/>
    </w:pPr>
    <w:rPr>
      <w:rFonts w:asciiTheme="majorHAnsi" w:hAnsiTheme="majorHAnsi" w:cstheme="majorHAnsi"/>
      <w:sz w:val="40"/>
      <w:szCs w:val="40"/>
      <w:lang w:val="en-US"/>
    </w:rPr>
  </w:style>
  <w:style w:type="character" w:customStyle="1" w:styleId="LuxondateChar">
    <w:name w:val="Luxon date Char"/>
    <w:basedOn w:val="DefaultParagraphFont"/>
    <w:link w:val="Luxondate"/>
    <w:rsid w:val="00B54FA1"/>
    <w:rPr>
      <w:rFonts w:asciiTheme="majorHAnsi" w:hAnsiTheme="majorHAnsi" w:cstheme="majorHAnsi"/>
      <w:sz w:val="40"/>
      <w:szCs w:val="40"/>
      <w:lang w:val="en-US"/>
    </w:rPr>
  </w:style>
  <w:style w:type="paragraph" w:customStyle="1" w:styleId="Luxontitle">
    <w:name w:val="Luxon title"/>
    <w:link w:val="LuxontitleChar"/>
    <w:qFormat/>
    <w:rsid w:val="00B54FA1"/>
    <w:pPr>
      <w:spacing w:after="0" w:line="240" w:lineRule="auto"/>
      <w:ind w:left="329"/>
    </w:pPr>
    <w:rPr>
      <w:rFonts w:asciiTheme="majorHAnsi" w:eastAsiaTheme="majorEastAsia" w:hAnsiTheme="majorHAnsi" w:cstheme="majorHAnsi"/>
      <w:spacing w:val="-10"/>
      <w:kern w:val="28"/>
      <w:sz w:val="50"/>
      <w:szCs w:val="50"/>
      <w:lang w:val="es-419"/>
    </w:rPr>
  </w:style>
  <w:style w:type="character" w:customStyle="1" w:styleId="LuxontitleChar">
    <w:name w:val="Luxon title Char"/>
    <w:basedOn w:val="TitleChar"/>
    <w:link w:val="Luxontitle"/>
    <w:rsid w:val="00B54FA1"/>
    <w:rPr>
      <w:rFonts w:asciiTheme="majorHAnsi" w:eastAsiaTheme="majorEastAsia" w:hAnsiTheme="majorHAnsi" w:cstheme="majorHAnsi"/>
      <w:b w:val="0"/>
      <w:spacing w:val="-10"/>
      <w:kern w:val="28"/>
      <w:sz w:val="50"/>
      <w:szCs w:val="50"/>
      <w:lang w:val="es-419" w:eastAsia="es-CO"/>
    </w:rPr>
  </w:style>
  <w:style w:type="paragraph" w:customStyle="1" w:styleId="Normalcover">
    <w:name w:val="Normal cover"/>
    <w:link w:val="NormalcoverChar"/>
    <w:qFormat/>
    <w:rsid w:val="00B54FA1"/>
    <w:pPr>
      <w:spacing w:before="80" w:after="80"/>
    </w:pPr>
    <w:rPr>
      <w:rFonts w:cstheme="minorHAnsi"/>
      <w:sz w:val="24"/>
      <w:szCs w:val="24"/>
      <w:lang w:val="en-US"/>
    </w:rPr>
  </w:style>
  <w:style w:type="character" w:customStyle="1" w:styleId="NormalcoverChar">
    <w:name w:val="Normal cover Char"/>
    <w:basedOn w:val="DefaultParagraphFont"/>
    <w:link w:val="Normalcover"/>
    <w:rsid w:val="00B54FA1"/>
    <w:rPr>
      <w:rFonts w:cstheme="minorHAnsi"/>
      <w:sz w:val="24"/>
      <w:szCs w:val="24"/>
      <w:lang w:val="en-US"/>
    </w:rPr>
  </w:style>
  <w:style w:type="paragraph" w:styleId="TOC4">
    <w:name w:val="toc 4"/>
    <w:basedOn w:val="Normal"/>
    <w:next w:val="Normal"/>
    <w:autoRedefine/>
    <w:uiPriority w:val="39"/>
    <w:unhideWhenUsed/>
    <w:rsid w:val="0066112D"/>
    <w:pPr>
      <w:tabs>
        <w:tab w:val="left" w:pos="1320"/>
        <w:tab w:val="right" w:leader="dot" w:pos="8494"/>
      </w:tabs>
      <w:spacing w:after="0"/>
      <w:ind w:left="660"/>
    </w:pPr>
    <w:rPr>
      <w:rFonts w:cstheme="minorHAnsi"/>
      <w:sz w:val="20"/>
      <w:szCs w:val="20"/>
    </w:rPr>
  </w:style>
  <w:style w:type="paragraph" w:styleId="TOC5">
    <w:name w:val="toc 5"/>
    <w:basedOn w:val="Normal"/>
    <w:next w:val="Normal"/>
    <w:autoRedefine/>
    <w:uiPriority w:val="39"/>
    <w:unhideWhenUsed/>
    <w:rsid w:val="00B25B55"/>
    <w:pPr>
      <w:spacing w:after="0"/>
      <w:ind w:left="880"/>
    </w:pPr>
    <w:rPr>
      <w:rFonts w:cstheme="minorHAnsi"/>
      <w:sz w:val="20"/>
      <w:szCs w:val="20"/>
    </w:rPr>
  </w:style>
  <w:style w:type="paragraph" w:styleId="TOC6">
    <w:name w:val="toc 6"/>
    <w:basedOn w:val="Normal"/>
    <w:next w:val="Normal"/>
    <w:autoRedefine/>
    <w:uiPriority w:val="39"/>
    <w:unhideWhenUsed/>
    <w:rsid w:val="00B25B55"/>
    <w:pPr>
      <w:spacing w:after="0"/>
      <w:ind w:left="1100"/>
    </w:pPr>
    <w:rPr>
      <w:rFonts w:cstheme="minorHAnsi"/>
      <w:sz w:val="20"/>
      <w:szCs w:val="20"/>
    </w:rPr>
  </w:style>
  <w:style w:type="paragraph" w:styleId="TOC7">
    <w:name w:val="toc 7"/>
    <w:basedOn w:val="Normal"/>
    <w:next w:val="Normal"/>
    <w:autoRedefine/>
    <w:uiPriority w:val="39"/>
    <w:unhideWhenUsed/>
    <w:rsid w:val="00B25B55"/>
    <w:pPr>
      <w:spacing w:after="0"/>
      <w:ind w:left="1320"/>
    </w:pPr>
    <w:rPr>
      <w:rFonts w:cstheme="minorHAnsi"/>
      <w:sz w:val="20"/>
      <w:szCs w:val="20"/>
    </w:rPr>
  </w:style>
  <w:style w:type="paragraph" w:styleId="TOC8">
    <w:name w:val="toc 8"/>
    <w:basedOn w:val="Normal"/>
    <w:next w:val="Normal"/>
    <w:autoRedefine/>
    <w:uiPriority w:val="39"/>
    <w:unhideWhenUsed/>
    <w:rsid w:val="00B25B55"/>
    <w:pPr>
      <w:spacing w:after="0"/>
      <w:ind w:left="1540"/>
    </w:pPr>
    <w:rPr>
      <w:rFonts w:cstheme="minorHAnsi"/>
      <w:sz w:val="20"/>
      <w:szCs w:val="20"/>
    </w:rPr>
  </w:style>
  <w:style w:type="paragraph" w:styleId="TOC9">
    <w:name w:val="toc 9"/>
    <w:basedOn w:val="Normal"/>
    <w:next w:val="Normal"/>
    <w:autoRedefine/>
    <w:uiPriority w:val="39"/>
    <w:unhideWhenUsed/>
    <w:rsid w:val="00B25B55"/>
    <w:pPr>
      <w:spacing w:after="0"/>
      <w:ind w:left="176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FC2123"/>
    <w:pPr>
      <w:jc w:val="left"/>
    </w:pPr>
    <w:rPr>
      <w:b/>
      <w:bCs/>
    </w:rPr>
  </w:style>
  <w:style w:type="character" w:customStyle="1" w:styleId="CommentSubjectChar">
    <w:name w:val="Comment Subject Char"/>
    <w:basedOn w:val="CommentTextChar"/>
    <w:link w:val="CommentSubject"/>
    <w:uiPriority w:val="99"/>
    <w:semiHidden/>
    <w:rsid w:val="00FC2123"/>
    <w:rPr>
      <w:rFonts w:ascii="Calibri" w:eastAsia="Calibri" w:hAnsi="Calibri" w:cs="Calibri"/>
      <w:b/>
      <w:bCs/>
      <w:sz w:val="20"/>
      <w:szCs w:val="20"/>
      <w:lang w:val="en-US" w:eastAsia="es-CO"/>
    </w:rPr>
  </w:style>
  <w:style w:type="character" w:styleId="PageNumber">
    <w:name w:val="page number"/>
    <w:basedOn w:val="DefaultParagraphFont"/>
    <w:uiPriority w:val="99"/>
    <w:semiHidden/>
    <w:unhideWhenUsed/>
    <w:rsid w:val="003A16F6"/>
  </w:style>
  <w:style w:type="character" w:customStyle="1" w:styleId="Heading4Char">
    <w:name w:val="Heading 4 Char"/>
    <w:basedOn w:val="DefaultParagraphFont"/>
    <w:link w:val="Heading4"/>
    <w:uiPriority w:val="9"/>
    <w:rsid w:val="00EE3A28"/>
    <w:rPr>
      <w:rFonts w:ascii="Calibri" w:eastAsia="Calibri" w:hAnsi="Calibri" w:cs="Calibri"/>
      <w:i/>
      <w:color w:val="4472C4"/>
      <w:lang w:val="en-AU" w:eastAsia="es-CO"/>
    </w:rPr>
  </w:style>
  <w:style w:type="paragraph" w:styleId="NoSpacing">
    <w:name w:val="No Spacing"/>
    <w:uiPriority w:val="1"/>
    <w:qFormat/>
    <w:rsid w:val="00BF2C00"/>
    <w:pPr>
      <w:spacing w:after="0" w:line="240" w:lineRule="auto"/>
      <w:jc w:val="both"/>
    </w:pPr>
    <w:rPr>
      <w:lang w:val="en"/>
    </w:rPr>
  </w:style>
  <w:style w:type="character" w:customStyle="1" w:styleId="A14">
    <w:name w:val="A14"/>
    <w:uiPriority w:val="99"/>
    <w:rsid w:val="00743C4B"/>
    <w:rPr>
      <w:rFonts w:cs="Arial Nova Light"/>
      <w:color w:val="000000"/>
      <w:sz w:val="12"/>
      <w:szCs w:val="12"/>
    </w:rPr>
  </w:style>
  <w:style w:type="paragraph" w:styleId="Revision">
    <w:name w:val="Revision"/>
    <w:hidden/>
    <w:uiPriority w:val="99"/>
    <w:semiHidden/>
    <w:rsid w:val="005A7089"/>
    <w:pPr>
      <w:spacing w:after="0" w:line="240" w:lineRule="auto"/>
    </w:pPr>
    <w:rPr>
      <w:rFonts w:ascii="Calibri" w:eastAsia="Calibri" w:hAnsi="Calibri" w:cs="Calibri"/>
      <w:lang w:val="en-US" w:eastAsia="es-CO"/>
    </w:rPr>
  </w:style>
  <w:style w:type="character" w:styleId="Emphasis">
    <w:name w:val="Emphasis"/>
    <w:basedOn w:val="DefaultParagraphFont"/>
    <w:uiPriority w:val="20"/>
    <w:qFormat/>
    <w:rsid w:val="00611068"/>
    <w:rPr>
      <w:i/>
      <w:iCs/>
    </w:rPr>
  </w:style>
  <w:style w:type="table" w:styleId="PlainTable4">
    <w:name w:val="Plain Table 4"/>
    <w:basedOn w:val="TableNormal"/>
    <w:uiPriority w:val="44"/>
    <w:rsid w:val="002610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BC086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450583"/>
    <w:pPr>
      <w:spacing w:after="0" w:line="240" w:lineRule="auto"/>
    </w:pPr>
    <w:rPr>
      <w:lang w:val="es-G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D6C27"/>
    <w:rPr>
      <w:rFonts w:ascii="Calibri" w:eastAsia="Calibri" w:hAnsi="Calibri" w:cs="Calibri"/>
      <w:b/>
      <w:lang w:val="en-AU" w:eastAsia="es-CO"/>
    </w:rPr>
  </w:style>
  <w:style w:type="character" w:customStyle="1" w:styleId="Heading6Char">
    <w:name w:val="Heading 6 Char"/>
    <w:basedOn w:val="DefaultParagraphFont"/>
    <w:link w:val="Heading6"/>
    <w:uiPriority w:val="9"/>
    <w:semiHidden/>
    <w:rsid w:val="006D6C27"/>
    <w:rPr>
      <w:rFonts w:ascii="Calibri" w:eastAsia="Calibri" w:hAnsi="Calibri" w:cs="Calibri"/>
      <w:b/>
      <w:sz w:val="20"/>
      <w:szCs w:val="20"/>
      <w:lang w:val="en-AU" w:eastAsia="es-CO"/>
    </w:rPr>
  </w:style>
  <w:style w:type="table" w:customStyle="1" w:styleId="TableNormal1">
    <w:name w:val="Table Normal1"/>
    <w:rsid w:val="006D6C27"/>
    <w:pPr>
      <w:jc w:val="both"/>
    </w:pPr>
    <w:rPr>
      <w:rFonts w:ascii="Calibri" w:eastAsia="Calibri" w:hAnsi="Calibri" w:cs="Calibri"/>
      <w:lang w:val="en-US" w:eastAsia="es-CO"/>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D6C2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D6C27"/>
    <w:rPr>
      <w:rFonts w:ascii="Georgia" w:eastAsia="Georgia" w:hAnsi="Georgia" w:cs="Georgia"/>
      <w:i/>
      <w:color w:val="666666"/>
      <w:sz w:val="48"/>
      <w:szCs w:val="48"/>
      <w:lang w:val="en-US" w:eastAsia="es-CO"/>
    </w:rPr>
  </w:style>
  <w:style w:type="character" w:styleId="Strong">
    <w:name w:val="Strong"/>
    <w:basedOn w:val="DefaultParagraphFont"/>
    <w:uiPriority w:val="22"/>
    <w:qFormat/>
    <w:rsid w:val="0050623A"/>
    <w:rPr>
      <w:b/>
      <w:bCs/>
    </w:rPr>
  </w:style>
  <w:style w:type="paragraph" w:customStyle="1" w:styleId="paragraph">
    <w:name w:val="paragraph"/>
    <w:basedOn w:val="Normal"/>
    <w:rsid w:val="00602A9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2A94"/>
  </w:style>
  <w:style w:type="character" w:customStyle="1" w:styleId="eop">
    <w:name w:val="eop"/>
    <w:basedOn w:val="DefaultParagraphFont"/>
    <w:rsid w:val="00602A94"/>
  </w:style>
  <w:style w:type="character" w:customStyle="1" w:styleId="spellingerror">
    <w:name w:val="spellingerror"/>
    <w:basedOn w:val="DefaultParagraphFont"/>
    <w:rsid w:val="00602A94"/>
  </w:style>
  <w:style w:type="character" w:customStyle="1" w:styleId="scxp55300805">
    <w:name w:val="scxp55300805"/>
    <w:basedOn w:val="DefaultParagraphFont"/>
    <w:rsid w:val="0023364B"/>
  </w:style>
  <w:style w:type="character" w:customStyle="1" w:styleId="scxp30115160">
    <w:name w:val="scxp30115160"/>
    <w:basedOn w:val="DefaultParagraphFont"/>
    <w:rsid w:val="00075E61"/>
  </w:style>
  <w:style w:type="character" w:customStyle="1" w:styleId="scxp113022702">
    <w:name w:val="scxp113022702"/>
    <w:basedOn w:val="DefaultParagraphFont"/>
    <w:rsid w:val="008E484F"/>
  </w:style>
  <w:style w:type="paragraph" w:styleId="TableofFigures">
    <w:name w:val="table of figures"/>
    <w:basedOn w:val="Normal"/>
    <w:next w:val="Normal"/>
    <w:uiPriority w:val="99"/>
    <w:unhideWhenUsed/>
    <w:rsid w:val="007343D4"/>
    <w:pPr>
      <w:spacing w:after="0"/>
    </w:pPr>
  </w:style>
  <w:style w:type="character" w:customStyle="1" w:styleId="A4">
    <w:name w:val="A4"/>
    <w:uiPriority w:val="99"/>
    <w:rsid w:val="00573673"/>
    <w:rPr>
      <w:rFonts w:cs="FuturaLight"/>
      <w:color w:val="000000"/>
      <w:sz w:val="18"/>
      <w:szCs w:val="18"/>
    </w:rPr>
  </w:style>
  <w:style w:type="character" w:customStyle="1" w:styleId="A9">
    <w:name w:val="A9"/>
    <w:uiPriority w:val="99"/>
    <w:rsid w:val="00573673"/>
    <w:rPr>
      <w:rFonts w:cs="FuturaLight"/>
      <w:color w:val="000000"/>
      <w:sz w:val="10"/>
      <w:szCs w:val="10"/>
    </w:rPr>
  </w:style>
  <w:style w:type="paragraph" w:customStyle="1" w:styleId="Pa2">
    <w:name w:val="Pa2"/>
    <w:basedOn w:val="Default"/>
    <w:next w:val="Default"/>
    <w:uiPriority w:val="99"/>
    <w:rsid w:val="005253A9"/>
    <w:pPr>
      <w:spacing w:line="241" w:lineRule="atLeast"/>
    </w:pPr>
    <w:rPr>
      <w:rFonts w:ascii="FuturaLight" w:hAnsi="FuturaLight" w:cstheme="minorBidi"/>
      <w:color w:val="auto"/>
      <w:lang w:val="en-AU"/>
    </w:rPr>
  </w:style>
  <w:style w:type="paragraph" w:styleId="Bibliography">
    <w:name w:val="Bibliography"/>
    <w:basedOn w:val="Normal"/>
    <w:next w:val="Normal"/>
    <w:uiPriority w:val="37"/>
    <w:unhideWhenUsed/>
    <w:rsid w:val="00A82ECB"/>
    <w:pPr>
      <w:spacing w:after="240" w:line="240" w:lineRule="auto"/>
    </w:pPr>
  </w:style>
  <w:style w:type="character" w:customStyle="1" w:styleId="css-901oao">
    <w:name w:val="css-901oao"/>
    <w:basedOn w:val="DefaultParagraphFont"/>
    <w:rsid w:val="00911280"/>
  </w:style>
  <w:style w:type="character" w:customStyle="1" w:styleId="r-18u37iz">
    <w:name w:val="r-18u37iz"/>
    <w:basedOn w:val="DefaultParagraphFont"/>
    <w:rsid w:val="00911280"/>
  </w:style>
  <w:style w:type="character" w:customStyle="1" w:styleId="A5">
    <w:name w:val="A5"/>
    <w:uiPriority w:val="99"/>
    <w:rsid w:val="008432D1"/>
    <w:rPr>
      <w:color w:val="000000"/>
      <w:sz w:val="18"/>
      <w:szCs w:val="18"/>
    </w:rPr>
  </w:style>
  <w:style w:type="paragraph" w:customStyle="1" w:styleId="Pa6">
    <w:name w:val="Pa6"/>
    <w:basedOn w:val="Default"/>
    <w:next w:val="Default"/>
    <w:uiPriority w:val="99"/>
    <w:rsid w:val="00C31FD5"/>
    <w:pPr>
      <w:spacing w:line="241" w:lineRule="atLeast"/>
    </w:pPr>
    <w:rPr>
      <w:rFonts w:ascii="Arial" w:hAnsi="Arial" w:cs="Arial"/>
      <w:color w:val="auto"/>
      <w:lang w:val="en-AU"/>
    </w:rPr>
  </w:style>
  <w:style w:type="character" w:customStyle="1" w:styleId="A11">
    <w:name w:val="A11"/>
    <w:uiPriority w:val="99"/>
    <w:rsid w:val="00B94B94"/>
    <w:rPr>
      <w:rFonts w:cs="Campton Book"/>
      <w:color w:val="000000"/>
      <w:sz w:val="11"/>
      <w:szCs w:val="11"/>
    </w:rPr>
  </w:style>
  <w:style w:type="paragraph" w:customStyle="1" w:styleId="selectionshareable">
    <w:name w:val="selectionshareable"/>
    <w:basedOn w:val="Normal"/>
    <w:rsid w:val="00FA4A61"/>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4F2B18"/>
    <w:rPr>
      <w:vertAlign w:val="superscript"/>
    </w:rPr>
  </w:style>
  <w:style w:type="paragraph" w:customStyle="1" w:styleId="tableparagraph">
    <w:name w:val="tableparagraph"/>
    <w:basedOn w:val="Normal"/>
    <w:rsid w:val="00CE7533"/>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numbering" w:customStyle="1" w:styleId="Style1">
    <w:name w:val="Style1"/>
    <w:uiPriority w:val="99"/>
    <w:rsid w:val="00A30C7A"/>
    <w:pPr>
      <w:numPr>
        <w:numId w:val="11"/>
      </w:numPr>
    </w:pPr>
  </w:style>
  <w:style w:type="paragraph" w:customStyle="1" w:styleId="NoNumber">
    <w:name w:val="No Number"/>
    <w:basedOn w:val="Normal"/>
    <w:link w:val="NoNumberChar"/>
    <w:qFormat/>
    <w:rsid w:val="006F1756"/>
    <w:pPr>
      <w:keepNext/>
      <w:keepLines/>
      <w:pBdr>
        <w:top w:val="nil"/>
        <w:left w:val="nil"/>
        <w:bottom w:val="nil"/>
        <w:right w:val="nil"/>
        <w:between w:val="nil"/>
      </w:pBdr>
      <w:spacing w:before="360" w:after="360"/>
      <w:ind w:left="357" w:hanging="357"/>
    </w:pPr>
    <w:rPr>
      <w:color w:val="2F5496"/>
      <w:sz w:val="38"/>
    </w:rPr>
  </w:style>
  <w:style w:type="character" w:customStyle="1" w:styleId="NoNumberChar">
    <w:name w:val="No Number Char"/>
    <w:basedOn w:val="DefaultParagraphFont"/>
    <w:link w:val="NoNumber"/>
    <w:rsid w:val="006F1756"/>
    <w:rPr>
      <w:rFonts w:ascii="Calibri" w:eastAsia="Calibri" w:hAnsi="Calibri" w:cs="Calibri"/>
      <w:color w:val="2F5496"/>
      <w:sz w:val="38"/>
      <w:lang w:val="en-US" w:eastAsia="es-CO"/>
    </w:rPr>
  </w:style>
  <w:style w:type="character" w:customStyle="1" w:styleId="Heading7Char">
    <w:name w:val="Heading 7 Char"/>
    <w:basedOn w:val="DefaultParagraphFont"/>
    <w:link w:val="Heading7"/>
    <w:uiPriority w:val="9"/>
    <w:semiHidden/>
    <w:rsid w:val="002734F1"/>
    <w:rPr>
      <w:rFonts w:asciiTheme="majorHAnsi" w:eastAsiaTheme="majorEastAsia" w:hAnsiTheme="majorHAnsi" w:cstheme="majorBidi"/>
      <w:i/>
      <w:iCs/>
      <w:color w:val="1F3763" w:themeColor="accent1" w:themeShade="7F"/>
      <w:lang w:val="en-AU" w:eastAsia="es-CO"/>
    </w:rPr>
  </w:style>
  <w:style w:type="character" w:customStyle="1" w:styleId="Heading8Char">
    <w:name w:val="Heading 8 Char"/>
    <w:basedOn w:val="DefaultParagraphFont"/>
    <w:link w:val="Heading8"/>
    <w:uiPriority w:val="9"/>
    <w:semiHidden/>
    <w:rsid w:val="002734F1"/>
    <w:rPr>
      <w:rFonts w:asciiTheme="majorHAnsi" w:eastAsiaTheme="majorEastAsia" w:hAnsiTheme="majorHAnsi" w:cstheme="majorBidi"/>
      <w:color w:val="272727" w:themeColor="text1" w:themeTint="D8"/>
      <w:sz w:val="21"/>
      <w:szCs w:val="21"/>
      <w:lang w:val="en-AU" w:eastAsia="es-CO"/>
    </w:rPr>
  </w:style>
  <w:style w:type="character" w:customStyle="1" w:styleId="Heading9Char">
    <w:name w:val="Heading 9 Char"/>
    <w:basedOn w:val="DefaultParagraphFont"/>
    <w:link w:val="Heading9"/>
    <w:uiPriority w:val="9"/>
    <w:semiHidden/>
    <w:rsid w:val="002734F1"/>
    <w:rPr>
      <w:rFonts w:asciiTheme="majorHAnsi" w:eastAsiaTheme="majorEastAsia" w:hAnsiTheme="majorHAnsi" w:cstheme="majorBidi"/>
      <w:i/>
      <w:iCs/>
      <w:color w:val="272727" w:themeColor="text1" w:themeTint="D8"/>
      <w:sz w:val="21"/>
      <w:szCs w:val="21"/>
      <w:lang w:val="en-AU" w:eastAsia="es-CO"/>
    </w:rPr>
  </w:style>
  <w:style w:type="numbering" w:customStyle="1" w:styleId="Style2">
    <w:name w:val="Style2"/>
    <w:uiPriority w:val="99"/>
    <w:rsid w:val="002117E0"/>
    <w:pPr>
      <w:numPr>
        <w:numId w:val="13"/>
      </w:numPr>
    </w:pPr>
  </w:style>
  <w:style w:type="numbering" w:customStyle="1" w:styleId="Style3">
    <w:name w:val="Style3"/>
    <w:uiPriority w:val="99"/>
    <w:rsid w:val="00B16221"/>
    <w:pPr>
      <w:numPr>
        <w:numId w:val="14"/>
      </w:numPr>
    </w:pPr>
  </w:style>
  <w:style w:type="character" w:customStyle="1" w:styleId="cf01">
    <w:name w:val="cf01"/>
    <w:basedOn w:val="DefaultParagraphFont"/>
    <w:rsid w:val="00D80A43"/>
    <w:rPr>
      <w:rFonts w:ascii="Segoe UI" w:hAnsi="Segoe UI" w:cs="Segoe UI" w:hint="default"/>
      <w:sz w:val="18"/>
      <w:szCs w:val="18"/>
    </w:rPr>
  </w:style>
  <w:style w:type="paragraph" w:customStyle="1" w:styleId="obgpara">
    <w:name w:val="obg_para"/>
    <w:basedOn w:val="Normal"/>
    <w:rsid w:val="00467AB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TableContents">
    <w:name w:val="Table Contents"/>
    <w:basedOn w:val="Normal"/>
    <w:rsid w:val="005B6FDE"/>
    <w:pPr>
      <w:widowControl w:val="0"/>
      <w:suppressLineNumbers/>
      <w:suppressAutoHyphens/>
      <w:spacing w:after="0" w:line="240" w:lineRule="auto"/>
      <w:jc w:val="left"/>
    </w:pPr>
    <w:rPr>
      <w:rFonts w:ascii="Times New Roman" w:eastAsia="Arial Unicode MS" w:hAnsi="Times New Roman" w:cs="Times New Roman"/>
      <w:kern w:val="1"/>
      <w:sz w:val="24"/>
      <w:szCs w:val="24"/>
      <w:lang w:val="en-CA"/>
    </w:rPr>
  </w:style>
  <w:style w:type="paragraph" w:customStyle="1" w:styleId="gmail-m-5388751887302391571msolistparagraph">
    <w:name w:val="gmail-m_-5388751887302391571msolistparagraph"/>
    <w:basedOn w:val="Normal"/>
    <w:rsid w:val="00A20854"/>
    <w:pPr>
      <w:spacing w:before="100" w:beforeAutospacing="1" w:after="100" w:afterAutospacing="1" w:line="240" w:lineRule="auto"/>
      <w:jc w:val="left"/>
    </w:pPr>
    <w:rPr>
      <w:rFonts w:eastAsiaTheme="minorHAnsi"/>
      <w:lang w:eastAsia="en-AU"/>
    </w:rPr>
  </w:style>
  <w:style w:type="character" w:customStyle="1" w:styleId="gmail-m-5388751887302391571msofootnotereference">
    <w:name w:val="gmail-m_-5388751887302391571msofootnotereference"/>
    <w:basedOn w:val="DefaultParagraphFont"/>
    <w:rsid w:val="00A20854"/>
  </w:style>
  <w:style w:type="character" w:customStyle="1" w:styleId="caps">
    <w:name w:val="caps"/>
    <w:basedOn w:val="DefaultParagraphFont"/>
    <w:rsid w:val="00AA6E08"/>
  </w:style>
  <w:style w:type="paragraph" w:customStyle="1" w:styleId="swift-in-viewport">
    <w:name w:val="swift-in-viewport"/>
    <w:basedOn w:val="Normal"/>
    <w:rsid w:val="00BB565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break-words">
    <w:name w:val="break-words"/>
    <w:basedOn w:val="Normal"/>
    <w:rsid w:val="00443E7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Pa1">
    <w:name w:val="Pa1"/>
    <w:basedOn w:val="Default"/>
    <w:next w:val="Default"/>
    <w:uiPriority w:val="99"/>
    <w:rsid w:val="007C255A"/>
    <w:pPr>
      <w:spacing w:line="241" w:lineRule="atLeast"/>
    </w:pPr>
    <w:rPr>
      <w:color w:val="auto"/>
      <w:lang w:val="en-AU"/>
    </w:rPr>
  </w:style>
  <w:style w:type="character" w:customStyle="1" w:styleId="A16">
    <w:name w:val="A16"/>
    <w:uiPriority w:val="99"/>
    <w:rsid w:val="007C255A"/>
    <w:rPr>
      <w:color w:val="000000"/>
      <w:sz w:val="18"/>
      <w:szCs w:val="18"/>
    </w:rPr>
  </w:style>
  <w:style w:type="character" w:customStyle="1" w:styleId="A13">
    <w:name w:val="A13"/>
    <w:uiPriority w:val="99"/>
    <w:rsid w:val="005A2F45"/>
    <w:rPr>
      <w:rFonts w:cs="Minion Pro"/>
      <w:color w:val="000000"/>
      <w:sz w:val="14"/>
      <w:szCs w:val="14"/>
    </w:rPr>
  </w:style>
  <w:style w:type="character" w:customStyle="1" w:styleId="scxp127301445">
    <w:name w:val="scxp127301445"/>
    <w:basedOn w:val="DefaultParagraphFont"/>
    <w:rsid w:val="00192D5D"/>
  </w:style>
  <w:style w:type="character" w:customStyle="1" w:styleId="scxp93135185">
    <w:name w:val="scxp93135185"/>
    <w:basedOn w:val="DefaultParagraphFont"/>
    <w:rsid w:val="00B72DCE"/>
  </w:style>
  <w:style w:type="character" w:customStyle="1" w:styleId="scxp17183958">
    <w:name w:val="scxp17183958"/>
    <w:basedOn w:val="DefaultParagraphFont"/>
    <w:rsid w:val="002F4B1E"/>
  </w:style>
  <w:style w:type="character" w:customStyle="1" w:styleId="bcx0">
    <w:name w:val="bcx0"/>
    <w:basedOn w:val="DefaultParagraphFont"/>
    <w:rsid w:val="002F4B1E"/>
  </w:style>
  <w:style w:type="character" w:customStyle="1" w:styleId="scxp32102783">
    <w:name w:val="scxp32102783"/>
    <w:basedOn w:val="DefaultParagraphFont"/>
    <w:rsid w:val="002F4B1E"/>
  </w:style>
  <w:style w:type="character" w:customStyle="1" w:styleId="superscript">
    <w:name w:val="superscript"/>
    <w:basedOn w:val="DefaultParagraphFont"/>
    <w:rsid w:val="00421992"/>
  </w:style>
  <w:style w:type="character" w:customStyle="1" w:styleId="findhit">
    <w:name w:val="findhit"/>
    <w:basedOn w:val="DefaultParagraphFont"/>
    <w:rsid w:val="00CA5C64"/>
  </w:style>
  <w:style w:type="paragraph" w:customStyle="1" w:styleId="Pa30">
    <w:name w:val="Pa30"/>
    <w:basedOn w:val="Default"/>
    <w:next w:val="Default"/>
    <w:uiPriority w:val="99"/>
    <w:rsid w:val="00023993"/>
    <w:pPr>
      <w:spacing w:line="161" w:lineRule="atLeast"/>
    </w:pPr>
    <w:rPr>
      <w:rFonts w:ascii="Roboto" w:hAnsi="Roboto" w:cstheme="minorBidi"/>
      <w:color w:val="auto"/>
      <w:lang w:val="en-AU"/>
    </w:rPr>
  </w:style>
  <w:style w:type="paragraph" w:customStyle="1" w:styleId="font9">
    <w:name w:val="font_9"/>
    <w:basedOn w:val="Normal"/>
    <w:rsid w:val="002247FA"/>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5064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6449"/>
    <w:rPr>
      <w:rFonts w:ascii="Calibri" w:eastAsia="Calibri" w:hAnsi="Calibri" w:cs="Calibri"/>
      <w:sz w:val="20"/>
      <w:szCs w:val="20"/>
      <w:lang w:val="en-AU" w:eastAsia="es-CO"/>
    </w:rPr>
  </w:style>
  <w:style w:type="table" w:styleId="GridTable4-Accent1">
    <w:name w:val="Grid Table 4 Accent 1"/>
    <w:basedOn w:val="TableNormal"/>
    <w:uiPriority w:val="49"/>
    <w:rsid w:val="001E63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C94370"/>
    <w:pPr>
      <w:spacing w:after="0" w:line="240" w:lineRule="auto"/>
    </w:pPr>
    <w:rPr>
      <w:rFonts w:eastAsiaTheme="minorHAnsi"/>
      <w:sz w:val="24"/>
      <w:szCs w:val="24"/>
      <w:lang w:val="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4976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1027">
      <w:bodyDiv w:val="1"/>
      <w:marLeft w:val="0"/>
      <w:marRight w:val="0"/>
      <w:marTop w:val="0"/>
      <w:marBottom w:val="0"/>
      <w:divBdr>
        <w:top w:val="none" w:sz="0" w:space="0" w:color="auto"/>
        <w:left w:val="none" w:sz="0" w:space="0" w:color="auto"/>
        <w:bottom w:val="none" w:sz="0" w:space="0" w:color="auto"/>
        <w:right w:val="none" w:sz="0" w:space="0" w:color="auto"/>
      </w:divBdr>
    </w:div>
    <w:div w:id="3944390">
      <w:bodyDiv w:val="1"/>
      <w:marLeft w:val="0"/>
      <w:marRight w:val="0"/>
      <w:marTop w:val="0"/>
      <w:marBottom w:val="0"/>
      <w:divBdr>
        <w:top w:val="none" w:sz="0" w:space="0" w:color="auto"/>
        <w:left w:val="none" w:sz="0" w:space="0" w:color="auto"/>
        <w:bottom w:val="none" w:sz="0" w:space="0" w:color="auto"/>
        <w:right w:val="none" w:sz="0" w:space="0" w:color="auto"/>
      </w:divBdr>
      <w:divsChild>
        <w:div w:id="952859730">
          <w:marLeft w:val="480"/>
          <w:marRight w:val="0"/>
          <w:marTop w:val="0"/>
          <w:marBottom w:val="0"/>
          <w:divBdr>
            <w:top w:val="none" w:sz="0" w:space="0" w:color="auto"/>
            <w:left w:val="none" w:sz="0" w:space="0" w:color="auto"/>
            <w:bottom w:val="none" w:sz="0" w:space="0" w:color="auto"/>
            <w:right w:val="none" w:sz="0" w:space="0" w:color="auto"/>
          </w:divBdr>
          <w:divsChild>
            <w:div w:id="13676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86">
      <w:bodyDiv w:val="1"/>
      <w:marLeft w:val="0"/>
      <w:marRight w:val="0"/>
      <w:marTop w:val="0"/>
      <w:marBottom w:val="0"/>
      <w:divBdr>
        <w:top w:val="none" w:sz="0" w:space="0" w:color="auto"/>
        <w:left w:val="none" w:sz="0" w:space="0" w:color="auto"/>
        <w:bottom w:val="none" w:sz="0" w:space="0" w:color="auto"/>
        <w:right w:val="none" w:sz="0" w:space="0" w:color="auto"/>
      </w:divBdr>
      <w:divsChild>
        <w:div w:id="1523862345">
          <w:marLeft w:val="0"/>
          <w:marRight w:val="0"/>
          <w:marTop w:val="0"/>
          <w:marBottom w:val="0"/>
          <w:divBdr>
            <w:top w:val="none" w:sz="0" w:space="0" w:color="auto"/>
            <w:left w:val="none" w:sz="0" w:space="0" w:color="auto"/>
            <w:bottom w:val="none" w:sz="0" w:space="0" w:color="auto"/>
            <w:right w:val="none" w:sz="0" w:space="0" w:color="auto"/>
          </w:divBdr>
        </w:div>
        <w:div w:id="1313172544">
          <w:marLeft w:val="0"/>
          <w:marRight w:val="0"/>
          <w:marTop w:val="0"/>
          <w:marBottom w:val="0"/>
          <w:divBdr>
            <w:top w:val="none" w:sz="0" w:space="0" w:color="auto"/>
            <w:left w:val="none" w:sz="0" w:space="0" w:color="auto"/>
            <w:bottom w:val="none" w:sz="0" w:space="0" w:color="auto"/>
            <w:right w:val="none" w:sz="0" w:space="0" w:color="auto"/>
          </w:divBdr>
        </w:div>
      </w:divsChild>
    </w:div>
    <w:div w:id="11106851">
      <w:bodyDiv w:val="1"/>
      <w:marLeft w:val="0"/>
      <w:marRight w:val="0"/>
      <w:marTop w:val="0"/>
      <w:marBottom w:val="0"/>
      <w:divBdr>
        <w:top w:val="none" w:sz="0" w:space="0" w:color="auto"/>
        <w:left w:val="none" w:sz="0" w:space="0" w:color="auto"/>
        <w:bottom w:val="none" w:sz="0" w:space="0" w:color="auto"/>
        <w:right w:val="none" w:sz="0" w:space="0" w:color="auto"/>
      </w:divBdr>
      <w:divsChild>
        <w:div w:id="1448967667">
          <w:marLeft w:val="480"/>
          <w:marRight w:val="0"/>
          <w:marTop w:val="0"/>
          <w:marBottom w:val="0"/>
          <w:divBdr>
            <w:top w:val="none" w:sz="0" w:space="0" w:color="auto"/>
            <w:left w:val="none" w:sz="0" w:space="0" w:color="auto"/>
            <w:bottom w:val="none" w:sz="0" w:space="0" w:color="auto"/>
            <w:right w:val="none" w:sz="0" w:space="0" w:color="auto"/>
          </w:divBdr>
          <w:divsChild>
            <w:div w:id="133792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95">
      <w:bodyDiv w:val="1"/>
      <w:marLeft w:val="0"/>
      <w:marRight w:val="0"/>
      <w:marTop w:val="0"/>
      <w:marBottom w:val="0"/>
      <w:divBdr>
        <w:top w:val="none" w:sz="0" w:space="0" w:color="auto"/>
        <w:left w:val="none" w:sz="0" w:space="0" w:color="auto"/>
        <w:bottom w:val="none" w:sz="0" w:space="0" w:color="auto"/>
        <w:right w:val="none" w:sz="0" w:space="0" w:color="auto"/>
      </w:divBdr>
    </w:div>
    <w:div w:id="29235114">
      <w:bodyDiv w:val="1"/>
      <w:marLeft w:val="0"/>
      <w:marRight w:val="0"/>
      <w:marTop w:val="0"/>
      <w:marBottom w:val="0"/>
      <w:divBdr>
        <w:top w:val="none" w:sz="0" w:space="0" w:color="auto"/>
        <w:left w:val="none" w:sz="0" w:space="0" w:color="auto"/>
        <w:bottom w:val="none" w:sz="0" w:space="0" w:color="auto"/>
        <w:right w:val="none" w:sz="0" w:space="0" w:color="auto"/>
      </w:divBdr>
    </w:div>
    <w:div w:id="36203732">
      <w:bodyDiv w:val="1"/>
      <w:marLeft w:val="0"/>
      <w:marRight w:val="0"/>
      <w:marTop w:val="0"/>
      <w:marBottom w:val="0"/>
      <w:divBdr>
        <w:top w:val="none" w:sz="0" w:space="0" w:color="auto"/>
        <w:left w:val="none" w:sz="0" w:space="0" w:color="auto"/>
        <w:bottom w:val="none" w:sz="0" w:space="0" w:color="auto"/>
        <w:right w:val="none" w:sz="0" w:space="0" w:color="auto"/>
      </w:divBdr>
      <w:divsChild>
        <w:div w:id="1990673834">
          <w:marLeft w:val="0"/>
          <w:marRight w:val="0"/>
          <w:marTop w:val="0"/>
          <w:marBottom w:val="160"/>
          <w:divBdr>
            <w:top w:val="none" w:sz="0" w:space="0" w:color="auto"/>
            <w:left w:val="none" w:sz="0" w:space="0" w:color="auto"/>
            <w:bottom w:val="none" w:sz="0" w:space="0" w:color="auto"/>
            <w:right w:val="none" w:sz="0" w:space="0" w:color="auto"/>
          </w:divBdr>
        </w:div>
        <w:div w:id="1731073206">
          <w:marLeft w:val="0"/>
          <w:marRight w:val="0"/>
          <w:marTop w:val="0"/>
          <w:marBottom w:val="160"/>
          <w:divBdr>
            <w:top w:val="none" w:sz="0" w:space="0" w:color="auto"/>
            <w:left w:val="none" w:sz="0" w:space="0" w:color="auto"/>
            <w:bottom w:val="none" w:sz="0" w:space="0" w:color="auto"/>
            <w:right w:val="none" w:sz="0" w:space="0" w:color="auto"/>
          </w:divBdr>
        </w:div>
        <w:div w:id="398065901">
          <w:marLeft w:val="0"/>
          <w:marRight w:val="0"/>
          <w:marTop w:val="0"/>
          <w:marBottom w:val="160"/>
          <w:divBdr>
            <w:top w:val="none" w:sz="0" w:space="0" w:color="auto"/>
            <w:left w:val="none" w:sz="0" w:space="0" w:color="auto"/>
            <w:bottom w:val="none" w:sz="0" w:space="0" w:color="auto"/>
            <w:right w:val="none" w:sz="0" w:space="0" w:color="auto"/>
          </w:divBdr>
        </w:div>
      </w:divsChild>
    </w:div>
    <w:div w:id="40634719">
      <w:bodyDiv w:val="1"/>
      <w:marLeft w:val="0"/>
      <w:marRight w:val="0"/>
      <w:marTop w:val="0"/>
      <w:marBottom w:val="0"/>
      <w:divBdr>
        <w:top w:val="none" w:sz="0" w:space="0" w:color="auto"/>
        <w:left w:val="none" w:sz="0" w:space="0" w:color="auto"/>
        <w:bottom w:val="none" w:sz="0" w:space="0" w:color="auto"/>
        <w:right w:val="none" w:sz="0" w:space="0" w:color="auto"/>
      </w:divBdr>
    </w:div>
    <w:div w:id="45641850">
      <w:bodyDiv w:val="1"/>
      <w:marLeft w:val="0"/>
      <w:marRight w:val="0"/>
      <w:marTop w:val="0"/>
      <w:marBottom w:val="0"/>
      <w:divBdr>
        <w:top w:val="none" w:sz="0" w:space="0" w:color="auto"/>
        <w:left w:val="none" w:sz="0" w:space="0" w:color="auto"/>
        <w:bottom w:val="none" w:sz="0" w:space="0" w:color="auto"/>
        <w:right w:val="none" w:sz="0" w:space="0" w:color="auto"/>
      </w:divBdr>
      <w:divsChild>
        <w:div w:id="1562054541">
          <w:marLeft w:val="288"/>
          <w:marRight w:val="0"/>
          <w:marTop w:val="80"/>
          <w:marBottom w:val="0"/>
          <w:divBdr>
            <w:top w:val="none" w:sz="0" w:space="0" w:color="auto"/>
            <w:left w:val="none" w:sz="0" w:space="0" w:color="auto"/>
            <w:bottom w:val="none" w:sz="0" w:space="0" w:color="auto"/>
            <w:right w:val="none" w:sz="0" w:space="0" w:color="auto"/>
          </w:divBdr>
        </w:div>
        <w:div w:id="1806972524">
          <w:marLeft w:val="288"/>
          <w:marRight w:val="0"/>
          <w:marTop w:val="80"/>
          <w:marBottom w:val="0"/>
          <w:divBdr>
            <w:top w:val="none" w:sz="0" w:space="0" w:color="auto"/>
            <w:left w:val="none" w:sz="0" w:space="0" w:color="auto"/>
            <w:bottom w:val="none" w:sz="0" w:space="0" w:color="auto"/>
            <w:right w:val="none" w:sz="0" w:space="0" w:color="auto"/>
          </w:divBdr>
        </w:div>
        <w:div w:id="1263101310">
          <w:marLeft w:val="288"/>
          <w:marRight w:val="0"/>
          <w:marTop w:val="80"/>
          <w:marBottom w:val="0"/>
          <w:divBdr>
            <w:top w:val="none" w:sz="0" w:space="0" w:color="auto"/>
            <w:left w:val="none" w:sz="0" w:space="0" w:color="auto"/>
            <w:bottom w:val="none" w:sz="0" w:space="0" w:color="auto"/>
            <w:right w:val="none" w:sz="0" w:space="0" w:color="auto"/>
          </w:divBdr>
        </w:div>
        <w:div w:id="1836797543">
          <w:marLeft w:val="288"/>
          <w:marRight w:val="0"/>
          <w:marTop w:val="80"/>
          <w:marBottom w:val="0"/>
          <w:divBdr>
            <w:top w:val="none" w:sz="0" w:space="0" w:color="auto"/>
            <w:left w:val="none" w:sz="0" w:space="0" w:color="auto"/>
            <w:bottom w:val="none" w:sz="0" w:space="0" w:color="auto"/>
            <w:right w:val="none" w:sz="0" w:space="0" w:color="auto"/>
          </w:divBdr>
        </w:div>
        <w:div w:id="719674827">
          <w:marLeft w:val="288"/>
          <w:marRight w:val="0"/>
          <w:marTop w:val="80"/>
          <w:marBottom w:val="0"/>
          <w:divBdr>
            <w:top w:val="none" w:sz="0" w:space="0" w:color="auto"/>
            <w:left w:val="none" w:sz="0" w:space="0" w:color="auto"/>
            <w:bottom w:val="none" w:sz="0" w:space="0" w:color="auto"/>
            <w:right w:val="none" w:sz="0" w:space="0" w:color="auto"/>
          </w:divBdr>
        </w:div>
        <w:div w:id="1257904502">
          <w:marLeft w:val="288"/>
          <w:marRight w:val="0"/>
          <w:marTop w:val="80"/>
          <w:marBottom w:val="0"/>
          <w:divBdr>
            <w:top w:val="none" w:sz="0" w:space="0" w:color="auto"/>
            <w:left w:val="none" w:sz="0" w:space="0" w:color="auto"/>
            <w:bottom w:val="none" w:sz="0" w:space="0" w:color="auto"/>
            <w:right w:val="none" w:sz="0" w:space="0" w:color="auto"/>
          </w:divBdr>
        </w:div>
        <w:div w:id="1331367691">
          <w:marLeft w:val="288"/>
          <w:marRight w:val="0"/>
          <w:marTop w:val="80"/>
          <w:marBottom w:val="0"/>
          <w:divBdr>
            <w:top w:val="none" w:sz="0" w:space="0" w:color="auto"/>
            <w:left w:val="none" w:sz="0" w:space="0" w:color="auto"/>
            <w:bottom w:val="none" w:sz="0" w:space="0" w:color="auto"/>
            <w:right w:val="none" w:sz="0" w:space="0" w:color="auto"/>
          </w:divBdr>
        </w:div>
        <w:div w:id="2111046506">
          <w:marLeft w:val="288"/>
          <w:marRight w:val="0"/>
          <w:marTop w:val="80"/>
          <w:marBottom w:val="0"/>
          <w:divBdr>
            <w:top w:val="none" w:sz="0" w:space="0" w:color="auto"/>
            <w:left w:val="none" w:sz="0" w:space="0" w:color="auto"/>
            <w:bottom w:val="none" w:sz="0" w:space="0" w:color="auto"/>
            <w:right w:val="none" w:sz="0" w:space="0" w:color="auto"/>
          </w:divBdr>
        </w:div>
      </w:divsChild>
    </w:div>
    <w:div w:id="49811357">
      <w:bodyDiv w:val="1"/>
      <w:marLeft w:val="0"/>
      <w:marRight w:val="0"/>
      <w:marTop w:val="0"/>
      <w:marBottom w:val="0"/>
      <w:divBdr>
        <w:top w:val="none" w:sz="0" w:space="0" w:color="auto"/>
        <w:left w:val="none" w:sz="0" w:space="0" w:color="auto"/>
        <w:bottom w:val="none" w:sz="0" w:space="0" w:color="auto"/>
        <w:right w:val="none" w:sz="0" w:space="0" w:color="auto"/>
      </w:divBdr>
      <w:divsChild>
        <w:div w:id="1155102735">
          <w:marLeft w:val="0"/>
          <w:marRight w:val="0"/>
          <w:marTop w:val="0"/>
          <w:marBottom w:val="0"/>
          <w:divBdr>
            <w:top w:val="none" w:sz="0" w:space="0" w:color="auto"/>
            <w:left w:val="none" w:sz="0" w:space="0" w:color="auto"/>
            <w:bottom w:val="none" w:sz="0" w:space="0" w:color="auto"/>
            <w:right w:val="none" w:sz="0" w:space="0" w:color="auto"/>
          </w:divBdr>
          <w:divsChild>
            <w:div w:id="810250403">
              <w:marLeft w:val="0"/>
              <w:marRight w:val="0"/>
              <w:marTop w:val="0"/>
              <w:marBottom w:val="0"/>
              <w:divBdr>
                <w:top w:val="none" w:sz="0" w:space="0" w:color="auto"/>
                <w:left w:val="none" w:sz="0" w:space="0" w:color="auto"/>
                <w:bottom w:val="none" w:sz="0" w:space="0" w:color="auto"/>
                <w:right w:val="none" w:sz="0" w:space="0" w:color="auto"/>
              </w:divBdr>
              <w:divsChild>
                <w:div w:id="9725910">
                  <w:marLeft w:val="-240"/>
                  <w:marRight w:val="-240"/>
                  <w:marTop w:val="0"/>
                  <w:marBottom w:val="0"/>
                  <w:divBdr>
                    <w:top w:val="none" w:sz="0" w:space="0" w:color="auto"/>
                    <w:left w:val="none" w:sz="0" w:space="0" w:color="auto"/>
                    <w:bottom w:val="none" w:sz="0" w:space="0" w:color="auto"/>
                    <w:right w:val="none" w:sz="0" w:space="0" w:color="auto"/>
                  </w:divBdr>
                  <w:divsChild>
                    <w:div w:id="1667367199">
                      <w:marLeft w:val="0"/>
                      <w:marRight w:val="0"/>
                      <w:marTop w:val="0"/>
                      <w:marBottom w:val="0"/>
                      <w:divBdr>
                        <w:top w:val="none" w:sz="0" w:space="0" w:color="auto"/>
                        <w:left w:val="none" w:sz="0" w:space="0" w:color="auto"/>
                        <w:bottom w:val="none" w:sz="0" w:space="0" w:color="auto"/>
                        <w:right w:val="none" w:sz="0" w:space="0" w:color="auto"/>
                      </w:divBdr>
                      <w:divsChild>
                        <w:div w:id="1130055000">
                          <w:marLeft w:val="0"/>
                          <w:marRight w:val="0"/>
                          <w:marTop w:val="0"/>
                          <w:marBottom w:val="0"/>
                          <w:divBdr>
                            <w:top w:val="none" w:sz="0" w:space="0" w:color="auto"/>
                            <w:left w:val="none" w:sz="0" w:space="0" w:color="auto"/>
                            <w:bottom w:val="none" w:sz="0" w:space="0" w:color="auto"/>
                            <w:right w:val="none" w:sz="0" w:space="0" w:color="auto"/>
                          </w:divBdr>
                        </w:div>
                        <w:div w:id="1630474030">
                          <w:marLeft w:val="0"/>
                          <w:marRight w:val="0"/>
                          <w:marTop w:val="0"/>
                          <w:marBottom w:val="0"/>
                          <w:divBdr>
                            <w:top w:val="none" w:sz="0" w:space="0" w:color="auto"/>
                            <w:left w:val="none" w:sz="0" w:space="0" w:color="auto"/>
                            <w:bottom w:val="none" w:sz="0" w:space="0" w:color="auto"/>
                            <w:right w:val="none" w:sz="0" w:space="0" w:color="auto"/>
                          </w:divBdr>
                          <w:divsChild>
                            <w:div w:id="763695655">
                              <w:marLeft w:val="165"/>
                              <w:marRight w:val="165"/>
                              <w:marTop w:val="0"/>
                              <w:marBottom w:val="0"/>
                              <w:divBdr>
                                <w:top w:val="none" w:sz="0" w:space="0" w:color="auto"/>
                                <w:left w:val="none" w:sz="0" w:space="0" w:color="auto"/>
                                <w:bottom w:val="none" w:sz="0" w:space="0" w:color="auto"/>
                                <w:right w:val="none" w:sz="0" w:space="0" w:color="auto"/>
                              </w:divBdr>
                              <w:divsChild>
                                <w:div w:id="357851524">
                                  <w:marLeft w:val="0"/>
                                  <w:marRight w:val="0"/>
                                  <w:marTop w:val="0"/>
                                  <w:marBottom w:val="0"/>
                                  <w:divBdr>
                                    <w:top w:val="none" w:sz="0" w:space="0" w:color="auto"/>
                                    <w:left w:val="none" w:sz="0" w:space="0" w:color="auto"/>
                                    <w:bottom w:val="none" w:sz="0" w:space="0" w:color="auto"/>
                                    <w:right w:val="none" w:sz="0" w:space="0" w:color="auto"/>
                                  </w:divBdr>
                                  <w:divsChild>
                                    <w:div w:id="14074611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12546">
      <w:bodyDiv w:val="1"/>
      <w:marLeft w:val="0"/>
      <w:marRight w:val="0"/>
      <w:marTop w:val="0"/>
      <w:marBottom w:val="0"/>
      <w:divBdr>
        <w:top w:val="none" w:sz="0" w:space="0" w:color="auto"/>
        <w:left w:val="none" w:sz="0" w:space="0" w:color="auto"/>
        <w:bottom w:val="none" w:sz="0" w:space="0" w:color="auto"/>
        <w:right w:val="none" w:sz="0" w:space="0" w:color="auto"/>
      </w:divBdr>
    </w:div>
    <w:div w:id="56712594">
      <w:bodyDiv w:val="1"/>
      <w:marLeft w:val="0"/>
      <w:marRight w:val="0"/>
      <w:marTop w:val="0"/>
      <w:marBottom w:val="0"/>
      <w:divBdr>
        <w:top w:val="none" w:sz="0" w:space="0" w:color="auto"/>
        <w:left w:val="none" w:sz="0" w:space="0" w:color="auto"/>
        <w:bottom w:val="none" w:sz="0" w:space="0" w:color="auto"/>
        <w:right w:val="none" w:sz="0" w:space="0" w:color="auto"/>
      </w:divBdr>
      <w:divsChild>
        <w:div w:id="1141770559">
          <w:marLeft w:val="288"/>
          <w:marRight w:val="0"/>
          <w:marTop w:val="80"/>
          <w:marBottom w:val="0"/>
          <w:divBdr>
            <w:top w:val="none" w:sz="0" w:space="0" w:color="auto"/>
            <w:left w:val="none" w:sz="0" w:space="0" w:color="auto"/>
            <w:bottom w:val="none" w:sz="0" w:space="0" w:color="auto"/>
            <w:right w:val="none" w:sz="0" w:space="0" w:color="auto"/>
          </w:divBdr>
        </w:div>
        <w:div w:id="934440716">
          <w:marLeft w:val="288"/>
          <w:marRight w:val="0"/>
          <w:marTop w:val="80"/>
          <w:marBottom w:val="0"/>
          <w:divBdr>
            <w:top w:val="none" w:sz="0" w:space="0" w:color="auto"/>
            <w:left w:val="none" w:sz="0" w:space="0" w:color="auto"/>
            <w:bottom w:val="none" w:sz="0" w:space="0" w:color="auto"/>
            <w:right w:val="none" w:sz="0" w:space="0" w:color="auto"/>
          </w:divBdr>
        </w:div>
        <w:div w:id="70809815">
          <w:marLeft w:val="288"/>
          <w:marRight w:val="0"/>
          <w:marTop w:val="80"/>
          <w:marBottom w:val="0"/>
          <w:divBdr>
            <w:top w:val="none" w:sz="0" w:space="0" w:color="auto"/>
            <w:left w:val="none" w:sz="0" w:space="0" w:color="auto"/>
            <w:bottom w:val="none" w:sz="0" w:space="0" w:color="auto"/>
            <w:right w:val="none" w:sz="0" w:space="0" w:color="auto"/>
          </w:divBdr>
        </w:div>
        <w:div w:id="1699240372">
          <w:marLeft w:val="288"/>
          <w:marRight w:val="0"/>
          <w:marTop w:val="80"/>
          <w:marBottom w:val="0"/>
          <w:divBdr>
            <w:top w:val="none" w:sz="0" w:space="0" w:color="auto"/>
            <w:left w:val="none" w:sz="0" w:space="0" w:color="auto"/>
            <w:bottom w:val="none" w:sz="0" w:space="0" w:color="auto"/>
            <w:right w:val="none" w:sz="0" w:space="0" w:color="auto"/>
          </w:divBdr>
        </w:div>
        <w:div w:id="698626061">
          <w:marLeft w:val="288"/>
          <w:marRight w:val="0"/>
          <w:marTop w:val="80"/>
          <w:marBottom w:val="0"/>
          <w:divBdr>
            <w:top w:val="none" w:sz="0" w:space="0" w:color="auto"/>
            <w:left w:val="none" w:sz="0" w:space="0" w:color="auto"/>
            <w:bottom w:val="none" w:sz="0" w:space="0" w:color="auto"/>
            <w:right w:val="none" w:sz="0" w:space="0" w:color="auto"/>
          </w:divBdr>
        </w:div>
      </w:divsChild>
    </w:div>
    <w:div w:id="58872925">
      <w:bodyDiv w:val="1"/>
      <w:marLeft w:val="0"/>
      <w:marRight w:val="0"/>
      <w:marTop w:val="0"/>
      <w:marBottom w:val="0"/>
      <w:divBdr>
        <w:top w:val="none" w:sz="0" w:space="0" w:color="auto"/>
        <w:left w:val="none" w:sz="0" w:space="0" w:color="auto"/>
        <w:bottom w:val="none" w:sz="0" w:space="0" w:color="auto"/>
        <w:right w:val="none" w:sz="0" w:space="0" w:color="auto"/>
      </w:divBdr>
    </w:div>
    <w:div w:id="68962445">
      <w:bodyDiv w:val="1"/>
      <w:marLeft w:val="0"/>
      <w:marRight w:val="0"/>
      <w:marTop w:val="0"/>
      <w:marBottom w:val="0"/>
      <w:divBdr>
        <w:top w:val="none" w:sz="0" w:space="0" w:color="auto"/>
        <w:left w:val="none" w:sz="0" w:space="0" w:color="auto"/>
        <w:bottom w:val="none" w:sz="0" w:space="0" w:color="auto"/>
        <w:right w:val="none" w:sz="0" w:space="0" w:color="auto"/>
      </w:divBdr>
    </w:div>
    <w:div w:id="69160561">
      <w:bodyDiv w:val="1"/>
      <w:marLeft w:val="0"/>
      <w:marRight w:val="0"/>
      <w:marTop w:val="0"/>
      <w:marBottom w:val="0"/>
      <w:divBdr>
        <w:top w:val="none" w:sz="0" w:space="0" w:color="auto"/>
        <w:left w:val="none" w:sz="0" w:space="0" w:color="auto"/>
        <w:bottom w:val="none" w:sz="0" w:space="0" w:color="auto"/>
        <w:right w:val="none" w:sz="0" w:space="0" w:color="auto"/>
      </w:divBdr>
    </w:div>
    <w:div w:id="69275451">
      <w:bodyDiv w:val="1"/>
      <w:marLeft w:val="0"/>
      <w:marRight w:val="0"/>
      <w:marTop w:val="0"/>
      <w:marBottom w:val="0"/>
      <w:divBdr>
        <w:top w:val="none" w:sz="0" w:space="0" w:color="auto"/>
        <w:left w:val="none" w:sz="0" w:space="0" w:color="auto"/>
        <w:bottom w:val="none" w:sz="0" w:space="0" w:color="auto"/>
        <w:right w:val="none" w:sz="0" w:space="0" w:color="auto"/>
      </w:divBdr>
    </w:div>
    <w:div w:id="78257528">
      <w:bodyDiv w:val="1"/>
      <w:marLeft w:val="0"/>
      <w:marRight w:val="0"/>
      <w:marTop w:val="0"/>
      <w:marBottom w:val="0"/>
      <w:divBdr>
        <w:top w:val="none" w:sz="0" w:space="0" w:color="auto"/>
        <w:left w:val="none" w:sz="0" w:space="0" w:color="auto"/>
        <w:bottom w:val="none" w:sz="0" w:space="0" w:color="auto"/>
        <w:right w:val="none" w:sz="0" w:space="0" w:color="auto"/>
      </w:divBdr>
    </w:div>
    <w:div w:id="96027562">
      <w:bodyDiv w:val="1"/>
      <w:marLeft w:val="0"/>
      <w:marRight w:val="0"/>
      <w:marTop w:val="0"/>
      <w:marBottom w:val="0"/>
      <w:divBdr>
        <w:top w:val="none" w:sz="0" w:space="0" w:color="auto"/>
        <w:left w:val="none" w:sz="0" w:space="0" w:color="auto"/>
        <w:bottom w:val="none" w:sz="0" w:space="0" w:color="auto"/>
        <w:right w:val="none" w:sz="0" w:space="0" w:color="auto"/>
      </w:divBdr>
    </w:div>
    <w:div w:id="97023502">
      <w:bodyDiv w:val="1"/>
      <w:marLeft w:val="0"/>
      <w:marRight w:val="0"/>
      <w:marTop w:val="0"/>
      <w:marBottom w:val="0"/>
      <w:divBdr>
        <w:top w:val="none" w:sz="0" w:space="0" w:color="auto"/>
        <w:left w:val="none" w:sz="0" w:space="0" w:color="auto"/>
        <w:bottom w:val="none" w:sz="0" w:space="0" w:color="auto"/>
        <w:right w:val="none" w:sz="0" w:space="0" w:color="auto"/>
      </w:divBdr>
      <w:divsChild>
        <w:div w:id="1284192253">
          <w:marLeft w:val="480"/>
          <w:marRight w:val="0"/>
          <w:marTop w:val="0"/>
          <w:marBottom w:val="0"/>
          <w:divBdr>
            <w:top w:val="none" w:sz="0" w:space="0" w:color="auto"/>
            <w:left w:val="none" w:sz="0" w:space="0" w:color="auto"/>
            <w:bottom w:val="none" w:sz="0" w:space="0" w:color="auto"/>
            <w:right w:val="none" w:sz="0" w:space="0" w:color="auto"/>
          </w:divBdr>
          <w:divsChild>
            <w:div w:id="8258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3719">
      <w:bodyDiv w:val="1"/>
      <w:marLeft w:val="0"/>
      <w:marRight w:val="0"/>
      <w:marTop w:val="0"/>
      <w:marBottom w:val="0"/>
      <w:divBdr>
        <w:top w:val="none" w:sz="0" w:space="0" w:color="auto"/>
        <w:left w:val="none" w:sz="0" w:space="0" w:color="auto"/>
        <w:bottom w:val="none" w:sz="0" w:space="0" w:color="auto"/>
        <w:right w:val="none" w:sz="0" w:space="0" w:color="auto"/>
      </w:divBdr>
    </w:div>
    <w:div w:id="108360747">
      <w:bodyDiv w:val="1"/>
      <w:marLeft w:val="0"/>
      <w:marRight w:val="0"/>
      <w:marTop w:val="0"/>
      <w:marBottom w:val="0"/>
      <w:divBdr>
        <w:top w:val="none" w:sz="0" w:space="0" w:color="auto"/>
        <w:left w:val="none" w:sz="0" w:space="0" w:color="auto"/>
        <w:bottom w:val="none" w:sz="0" w:space="0" w:color="auto"/>
        <w:right w:val="none" w:sz="0" w:space="0" w:color="auto"/>
      </w:divBdr>
    </w:div>
    <w:div w:id="109083895">
      <w:bodyDiv w:val="1"/>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48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465">
      <w:bodyDiv w:val="1"/>
      <w:marLeft w:val="0"/>
      <w:marRight w:val="0"/>
      <w:marTop w:val="0"/>
      <w:marBottom w:val="0"/>
      <w:divBdr>
        <w:top w:val="none" w:sz="0" w:space="0" w:color="auto"/>
        <w:left w:val="none" w:sz="0" w:space="0" w:color="auto"/>
        <w:bottom w:val="none" w:sz="0" w:space="0" w:color="auto"/>
        <w:right w:val="none" w:sz="0" w:space="0" w:color="auto"/>
      </w:divBdr>
    </w:div>
    <w:div w:id="118302786">
      <w:bodyDiv w:val="1"/>
      <w:marLeft w:val="0"/>
      <w:marRight w:val="0"/>
      <w:marTop w:val="0"/>
      <w:marBottom w:val="0"/>
      <w:divBdr>
        <w:top w:val="none" w:sz="0" w:space="0" w:color="auto"/>
        <w:left w:val="none" w:sz="0" w:space="0" w:color="auto"/>
        <w:bottom w:val="none" w:sz="0" w:space="0" w:color="auto"/>
        <w:right w:val="none" w:sz="0" w:space="0" w:color="auto"/>
      </w:divBdr>
      <w:divsChild>
        <w:div w:id="1480339358">
          <w:marLeft w:val="547"/>
          <w:marRight w:val="0"/>
          <w:marTop w:val="86"/>
          <w:marBottom w:val="0"/>
          <w:divBdr>
            <w:top w:val="none" w:sz="0" w:space="0" w:color="auto"/>
            <w:left w:val="none" w:sz="0" w:space="0" w:color="auto"/>
            <w:bottom w:val="none" w:sz="0" w:space="0" w:color="auto"/>
            <w:right w:val="none" w:sz="0" w:space="0" w:color="auto"/>
          </w:divBdr>
        </w:div>
        <w:div w:id="1184905521">
          <w:marLeft w:val="1166"/>
          <w:marRight w:val="0"/>
          <w:marTop w:val="86"/>
          <w:marBottom w:val="0"/>
          <w:divBdr>
            <w:top w:val="none" w:sz="0" w:space="0" w:color="auto"/>
            <w:left w:val="none" w:sz="0" w:space="0" w:color="auto"/>
            <w:bottom w:val="none" w:sz="0" w:space="0" w:color="auto"/>
            <w:right w:val="none" w:sz="0" w:space="0" w:color="auto"/>
          </w:divBdr>
        </w:div>
        <w:div w:id="518085216">
          <w:marLeft w:val="1166"/>
          <w:marRight w:val="0"/>
          <w:marTop w:val="86"/>
          <w:marBottom w:val="0"/>
          <w:divBdr>
            <w:top w:val="none" w:sz="0" w:space="0" w:color="auto"/>
            <w:left w:val="none" w:sz="0" w:space="0" w:color="auto"/>
            <w:bottom w:val="none" w:sz="0" w:space="0" w:color="auto"/>
            <w:right w:val="none" w:sz="0" w:space="0" w:color="auto"/>
          </w:divBdr>
        </w:div>
        <w:div w:id="1445231214">
          <w:marLeft w:val="1166"/>
          <w:marRight w:val="0"/>
          <w:marTop w:val="86"/>
          <w:marBottom w:val="0"/>
          <w:divBdr>
            <w:top w:val="none" w:sz="0" w:space="0" w:color="auto"/>
            <w:left w:val="none" w:sz="0" w:space="0" w:color="auto"/>
            <w:bottom w:val="none" w:sz="0" w:space="0" w:color="auto"/>
            <w:right w:val="none" w:sz="0" w:space="0" w:color="auto"/>
          </w:divBdr>
        </w:div>
        <w:div w:id="2011836179">
          <w:marLeft w:val="1166"/>
          <w:marRight w:val="0"/>
          <w:marTop w:val="86"/>
          <w:marBottom w:val="0"/>
          <w:divBdr>
            <w:top w:val="none" w:sz="0" w:space="0" w:color="auto"/>
            <w:left w:val="none" w:sz="0" w:space="0" w:color="auto"/>
            <w:bottom w:val="none" w:sz="0" w:space="0" w:color="auto"/>
            <w:right w:val="none" w:sz="0" w:space="0" w:color="auto"/>
          </w:divBdr>
        </w:div>
        <w:div w:id="1541480734">
          <w:marLeft w:val="547"/>
          <w:marRight w:val="0"/>
          <w:marTop w:val="86"/>
          <w:marBottom w:val="0"/>
          <w:divBdr>
            <w:top w:val="none" w:sz="0" w:space="0" w:color="auto"/>
            <w:left w:val="none" w:sz="0" w:space="0" w:color="auto"/>
            <w:bottom w:val="none" w:sz="0" w:space="0" w:color="auto"/>
            <w:right w:val="none" w:sz="0" w:space="0" w:color="auto"/>
          </w:divBdr>
        </w:div>
        <w:div w:id="368116166">
          <w:marLeft w:val="1166"/>
          <w:marRight w:val="0"/>
          <w:marTop w:val="86"/>
          <w:marBottom w:val="0"/>
          <w:divBdr>
            <w:top w:val="none" w:sz="0" w:space="0" w:color="auto"/>
            <w:left w:val="none" w:sz="0" w:space="0" w:color="auto"/>
            <w:bottom w:val="none" w:sz="0" w:space="0" w:color="auto"/>
            <w:right w:val="none" w:sz="0" w:space="0" w:color="auto"/>
          </w:divBdr>
        </w:div>
      </w:divsChild>
    </w:div>
    <w:div w:id="120535911">
      <w:bodyDiv w:val="1"/>
      <w:marLeft w:val="0"/>
      <w:marRight w:val="0"/>
      <w:marTop w:val="0"/>
      <w:marBottom w:val="0"/>
      <w:divBdr>
        <w:top w:val="none" w:sz="0" w:space="0" w:color="auto"/>
        <w:left w:val="none" w:sz="0" w:space="0" w:color="auto"/>
        <w:bottom w:val="none" w:sz="0" w:space="0" w:color="auto"/>
        <w:right w:val="none" w:sz="0" w:space="0" w:color="auto"/>
      </w:divBdr>
    </w:div>
    <w:div w:id="122843710">
      <w:bodyDiv w:val="1"/>
      <w:marLeft w:val="0"/>
      <w:marRight w:val="0"/>
      <w:marTop w:val="0"/>
      <w:marBottom w:val="0"/>
      <w:divBdr>
        <w:top w:val="none" w:sz="0" w:space="0" w:color="auto"/>
        <w:left w:val="none" w:sz="0" w:space="0" w:color="auto"/>
        <w:bottom w:val="none" w:sz="0" w:space="0" w:color="auto"/>
        <w:right w:val="none" w:sz="0" w:space="0" w:color="auto"/>
      </w:divBdr>
    </w:div>
    <w:div w:id="137194035">
      <w:bodyDiv w:val="1"/>
      <w:marLeft w:val="0"/>
      <w:marRight w:val="0"/>
      <w:marTop w:val="0"/>
      <w:marBottom w:val="0"/>
      <w:divBdr>
        <w:top w:val="none" w:sz="0" w:space="0" w:color="auto"/>
        <w:left w:val="none" w:sz="0" w:space="0" w:color="auto"/>
        <w:bottom w:val="none" w:sz="0" w:space="0" w:color="auto"/>
        <w:right w:val="none" w:sz="0" w:space="0" w:color="auto"/>
      </w:divBdr>
    </w:div>
    <w:div w:id="147285958">
      <w:bodyDiv w:val="1"/>
      <w:marLeft w:val="0"/>
      <w:marRight w:val="0"/>
      <w:marTop w:val="0"/>
      <w:marBottom w:val="0"/>
      <w:divBdr>
        <w:top w:val="none" w:sz="0" w:space="0" w:color="auto"/>
        <w:left w:val="none" w:sz="0" w:space="0" w:color="auto"/>
        <w:bottom w:val="none" w:sz="0" w:space="0" w:color="auto"/>
        <w:right w:val="none" w:sz="0" w:space="0" w:color="auto"/>
      </w:divBdr>
    </w:div>
    <w:div w:id="161315594">
      <w:bodyDiv w:val="1"/>
      <w:marLeft w:val="0"/>
      <w:marRight w:val="0"/>
      <w:marTop w:val="0"/>
      <w:marBottom w:val="0"/>
      <w:divBdr>
        <w:top w:val="none" w:sz="0" w:space="0" w:color="auto"/>
        <w:left w:val="none" w:sz="0" w:space="0" w:color="auto"/>
        <w:bottom w:val="none" w:sz="0" w:space="0" w:color="auto"/>
        <w:right w:val="none" w:sz="0" w:space="0" w:color="auto"/>
      </w:divBdr>
    </w:div>
    <w:div w:id="162287065">
      <w:bodyDiv w:val="1"/>
      <w:marLeft w:val="0"/>
      <w:marRight w:val="0"/>
      <w:marTop w:val="0"/>
      <w:marBottom w:val="0"/>
      <w:divBdr>
        <w:top w:val="none" w:sz="0" w:space="0" w:color="auto"/>
        <w:left w:val="none" w:sz="0" w:space="0" w:color="auto"/>
        <w:bottom w:val="none" w:sz="0" w:space="0" w:color="auto"/>
        <w:right w:val="none" w:sz="0" w:space="0" w:color="auto"/>
      </w:divBdr>
    </w:div>
    <w:div w:id="165901798">
      <w:bodyDiv w:val="1"/>
      <w:marLeft w:val="0"/>
      <w:marRight w:val="0"/>
      <w:marTop w:val="0"/>
      <w:marBottom w:val="0"/>
      <w:divBdr>
        <w:top w:val="none" w:sz="0" w:space="0" w:color="auto"/>
        <w:left w:val="none" w:sz="0" w:space="0" w:color="auto"/>
        <w:bottom w:val="none" w:sz="0" w:space="0" w:color="auto"/>
        <w:right w:val="none" w:sz="0" w:space="0" w:color="auto"/>
      </w:divBdr>
    </w:div>
    <w:div w:id="167209115">
      <w:bodyDiv w:val="1"/>
      <w:marLeft w:val="0"/>
      <w:marRight w:val="0"/>
      <w:marTop w:val="0"/>
      <w:marBottom w:val="0"/>
      <w:divBdr>
        <w:top w:val="none" w:sz="0" w:space="0" w:color="auto"/>
        <w:left w:val="none" w:sz="0" w:space="0" w:color="auto"/>
        <w:bottom w:val="none" w:sz="0" w:space="0" w:color="auto"/>
        <w:right w:val="none" w:sz="0" w:space="0" w:color="auto"/>
      </w:divBdr>
    </w:div>
    <w:div w:id="192114731">
      <w:bodyDiv w:val="1"/>
      <w:marLeft w:val="0"/>
      <w:marRight w:val="0"/>
      <w:marTop w:val="0"/>
      <w:marBottom w:val="0"/>
      <w:divBdr>
        <w:top w:val="none" w:sz="0" w:space="0" w:color="auto"/>
        <w:left w:val="none" w:sz="0" w:space="0" w:color="auto"/>
        <w:bottom w:val="none" w:sz="0" w:space="0" w:color="auto"/>
        <w:right w:val="none" w:sz="0" w:space="0" w:color="auto"/>
      </w:divBdr>
      <w:divsChild>
        <w:div w:id="889658705">
          <w:marLeft w:val="547"/>
          <w:marRight w:val="0"/>
          <w:marTop w:val="0"/>
          <w:marBottom w:val="120"/>
          <w:divBdr>
            <w:top w:val="none" w:sz="0" w:space="0" w:color="auto"/>
            <w:left w:val="none" w:sz="0" w:space="0" w:color="auto"/>
            <w:bottom w:val="none" w:sz="0" w:space="0" w:color="auto"/>
            <w:right w:val="none" w:sz="0" w:space="0" w:color="auto"/>
          </w:divBdr>
        </w:div>
        <w:div w:id="117113556">
          <w:marLeft w:val="1138"/>
          <w:marRight w:val="0"/>
          <w:marTop w:val="0"/>
          <w:marBottom w:val="120"/>
          <w:divBdr>
            <w:top w:val="none" w:sz="0" w:space="0" w:color="auto"/>
            <w:left w:val="none" w:sz="0" w:space="0" w:color="auto"/>
            <w:bottom w:val="none" w:sz="0" w:space="0" w:color="auto"/>
            <w:right w:val="none" w:sz="0" w:space="0" w:color="auto"/>
          </w:divBdr>
        </w:div>
        <w:div w:id="38559542">
          <w:marLeft w:val="1138"/>
          <w:marRight w:val="0"/>
          <w:marTop w:val="0"/>
          <w:marBottom w:val="120"/>
          <w:divBdr>
            <w:top w:val="none" w:sz="0" w:space="0" w:color="auto"/>
            <w:left w:val="none" w:sz="0" w:space="0" w:color="auto"/>
            <w:bottom w:val="none" w:sz="0" w:space="0" w:color="auto"/>
            <w:right w:val="none" w:sz="0" w:space="0" w:color="auto"/>
          </w:divBdr>
        </w:div>
        <w:div w:id="1428887538">
          <w:marLeft w:val="1138"/>
          <w:marRight w:val="0"/>
          <w:marTop w:val="0"/>
          <w:marBottom w:val="120"/>
          <w:divBdr>
            <w:top w:val="none" w:sz="0" w:space="0" w:color="auto"/>
            <w:left w:val="none" w:sz="0" w:space="0" w:color="auto"/>
            <w:bottom w:val="none" w:sz="0" w:space="0" w:color="auto"/>
            <w:right w:val="none" w:sz="0" w:space="0" w:color="auto"/>
          </w:divBdr>
        </w:div>
        <w:div w:id="1139614410">
          <w:marLeft w:val="1138"/>
          <w:marRight w:val="0"/>
          <w:marTop w:val="0"/>
          <w:marBottom w:val="120"/>
          <w:divBdr>
            <w:top w:val="none" w:sz="0" w:space="0" w:color="auto"/>
            <w:left w:val="none" w:sz="0" w:space="0" w:color="auto"/>
            <w:bottom w:val="none" w:sz="0" w:space="0" w:color="auto"/>
            <w:right w:val="none" w:sz="0" w:space="0" w:color="auto"/>
          </w:divBdr>
        </w:div>
        <w:div w:id="443306877">
          <w:marLeft w:val="1138"/>
          <w:marRight w:val="0"/>
          <w:marTop w:val="0"/>
          <w:marBottom w:val="120"/>
          <w:divBdr>
            <w:top w:val="none" w:sz="0" w:space="0" w:color="auto"/>
            <w:left w:val="none" w:sz="0" w:space="0" w:color="auto"/>
            <w:bottom w:val="none" w:sz="0" w:space="0" w:color="auto"/>
            <w:right w:val="none" w:sz="0" w:space="0" w:color="auto"/>
          </w:divBdr>
        </w:div>
        <w:div w:id="774909218">
          <w:marLeft w:val="547"/>
          <w:marRight w:val="0"/>
          <w:marTop w:val="0"/>
          <w:marBottom w:val="120"/>
          <w:divBdr>
            <w:top w:val="none" w:sz="0" w:space="0" w:color="auto"/>
            <w:left w:val="none" w:sz="0" w:space="0" w:color="auto"/>
            <w:bottom w:val="none" w:sz="0" w:space="0" w:color="auto"/>
            <w:right w:val="none" w:sz="0" w:space="0" w:color="auto"/>
          </w:divBdr>
        </w:div>
        <w:div w:id="563763126">
          <w:marLeft w:val="1138"/>
          <w:marRight w:val="0"/>
          <w:marTop w:val="0"/>
          <w:marBottom w:val="120"/>
          <w:divBdr>
            <w:top w:val="none" w:sz="0" w:space="0" w:color="auto"/>
            <w:left w:val="none" w:sz="0" w:space="0" w:color="auto"/>
            <w:bottom w:val="none" w:sz="0" w:space="0" w:color="auto"/>
            <w:right w:val="none" w:sz="0" w:space="0" w:color="auto"/>
          </w:divBdr>
        </w:div>
      </w:divsChild>
    </w:div>
    <w:div w:id="215893200">
      <w:bodyDiv w:val="1"/>
      <w:marLeft w:val="0"/>
      <w:marRight w:val="0"/>
      <w:marTop w:val="0"/>
      <w:marBottom w:val="0"/>
      <w:divBdr>
        <w:top w:val="none" w:sz="0" w:space="0" w:color="auto"/>
        <w:left w:val="none" w:sz="0" w:space="0" w:color="auto"/>
        <w:bottom w:val="none" w:sz="0" w:space="0" w:color="auto"/>
        <w:right w:val="none" w:sz="0" w:space="0" w:color="auto"/>
      </w:divBdr>
    </w:div>
    <w:div w:id="219094155">
      <w:bodyDiv w:val="1"/>
      <w:marLeft w:val="0"/>
      <w:marRight w:val="0"/>
      <w:marTop w:val="0"/>
      <w:marBottom w:val="0"/>
      <w:divBdr>
        <w:top w:val="none" w:sz="0" w:space="0" w:color="auto"/>
        <w:left w:val="none" w:sz="0" w:space="0" w:color="auto"/>
        <w:bottom w:val="none" w:sz="0" w:space="0" w:color="auto"/>
        <w:right w:val="none" w:sz="0" w:space="0" w:color="auto"/>
      </w:divBdr>
    </w:div>
    <w:div w:id="229734365">
      <w:bodyDiv w:val="1"/>
      <w:marLeft w:val="0"/>
      <w:marRight w:val="0"/>
      <w:marTop w:val="0"/>
      <w:marBottom w:val="0"/>
      <w:divBdr>
        <w:top w:val="none" w:sz="0" w:space="0" w:color="auto"/>
        <w:left w:val="none" w:sz="0" w:space="0" w:color="auto"/>
        <w:bottom w:val="none" w:sz="0" w:space="0" w:color="auto"/>
        <w:right w:val="none" w:sz="0" w:space="0" w:color="auto"/>
      </w:divBdr>
    </w:div>
    <w:div w:id="232737729">
      <w:bodyDiv w:val="1"/>
      <w:marLeft w:val="0"/>
      <w:marRight w:val="0"/>
      <w:marTop w:val="0"/>
      <w:marBottom w:val="0"/>
      <w:divBdr>
        <w:top w:val="none" w:sz="0" w:space="0" w:color="auto"/>
        <w:left w:val="none" w:sz="0" w:space="0" w:color="auto"/>
        <w:bottom w:val="none" w:sz="0" w:space="0" w:color="auto"/>
        <w:right w:val="none" w:sz="0" w:space="0" w:color="auto"/>
      </w:divBdr>
    </w:div>
    <w:div w:id="239946760">
      <w:bodyDiv w:val="1"/>
      <w:marLeft w:val="0"/>
      <w:marRight w:val="0"/>
      <w:marTop w:val="0"/>
      <w:marBottom w:val="0"/>
      <w:divBdr>
        <w:top w:val="none" w:sz="0" w:space="0" w:color="auto"/>
        <w:left w:val="none" w:sz="0" w:space="0" w:color="auto"/>
        <w:bottom w:val="none" w:sz="0" w:space="0" w:color="auto"/>
        <w:right w:val="none" w:sz="0" w:space="0" w:color="auto"/>
      </w:divBdr>
    </w:div>
    <w:div w:id="240025392">
      <w:bodyDiv w:val="1"/>
      <w:marLeft w:val="0"/>
      <w:marRight w:val="0"/>
      <w:marTop w:val="0"/>
      <w:marBottom w:val="0"/>
      <w:divBdr>
        <w:top w:val="none" w:sz="0" w:space="0" w:color="auto"/>
        <w:left w:val="none" w:sz="0" w:space="0" w:color="auto"/>
        <w:bottom w:val="none" w:sz="0" w:space="0" w:color="auto"/>
        <w:right w:val="none" w:sz="0" w:space="0" w:color="auto"/>
      </w:divBdr>
    </w:div>
    <w:div w:id="241841796">
      <w:bodyDiv w:val="1"/>
      <w:marLeft w:val="0"/>
      <w:marRight w:val="0"/>
      <w:marTop w:val="0"/>
      <w:marBottom w:val="0"/>
      <w:divBdr>
        <w:top w:val="none" w:sz="0" w:space="0" w:color="auto"/>
        <w:left w:val="none" w:sz="0" w:space="0" w:color="auto"/>
        <w:bottom w:val="none" w:sz="0" w:space="0" w:color="auto"/>
        <w:right w:val="none" w:sz="0" w:space="0" w:color="auto"/>
      </w:divBdr>
    </w:div>
    <w:div w:id="247740038">
      <w:bodyDiv w:val="1"/>
      <w:marLeft w:val="0"/>
      <w:marRight w:val="0"/>
      <w:marTop w:val="0"/>
      <w:marBottom w:val="0"/>
      <w:divBdr>
        <w:top w:val="none" w:sz="0" w:space="0" w:color="auto"/>
        <w:left w:val="none" w:sz="0" w:space="0" w:color="auto"/>
        <w:bottom w:val="none" w:sz="0" w:space="0" w:color="auto"/>
        <w:right w:val="none" w:sz="0" w:space="0" w:color="auto"/>
      </w:divBdr>
    </w:div>
    <w:div w:id="255864572">
      <w:bodyDiv w:val="1"/>
      <w:marLeft w:val="0"/>
      <w:marRight w:val="0"/>
      <w:marTop w:val="0"/>
      <w:marBottom w:val="0"/>
      <w:divBdr>
        <w:top w:val="none" w:sz="0" w:space="0" w:color="auto"/>
        <w:left w:val="none" w:sz="0" w:space="0" w:color="auto"/>
        <w:bottom w:val="none" w:sz="0" w:space="0" w:color="auto"/>
        <w:right w:val="none" w:sz="0" w:space="0" w:color="auto"/>
      </w:divBdr>
    </w:div>
    <w:div w:id="265698745">
      <w:bodyDiv w:val="1"/>
      <w:marLeft w:val="0"/>
      <w:marRight w:val="0"/>
      <w:marTop w:val="0"/>
      <w:marBottom w:val="0"/>
      <w:divBdr>
        <w:top w:val="none" w:sz="0" w:space="0" w:color="auto"/>
        <w:left w:val="none" w:sz="0" w:space="0" w:color="auto"/>
        <w:bottom w:val="none" w:sz="0" w:space="0" w:color="auto"/>
        <w:right w:val="none" w:sz="0" w:space="0" w:color="auto"/>
      </w:divBdr>
    </w:div>
    <w:div w:id="266432448">
      <w:bodyDiv w:val="1"/>
      <w:marLeft w:val="0"/>
      <w:marRight w:val="0"/>
      <w:marTop w:val="0"/>
      <w:marBottom w:val="0"/>
      <w:divBdr>
        <w:top w:val="none" w:sz="0" w:space="0" w:color="auto"/>
        <w:left w:val="none" w:sz="0" w:space="0" w:color="auto"/>
        <w:bottom w:val="none" w:sz="0" w:space="0" w:color="auto"/>
        <w:right w:val="none" w:sz="0" w:space="0" w:color="auto"/>
      </w:divBdr>
      <w:divsChild>
        <w:div w:id="1726105200">
          <w:marLeft w:val="0"/>
          <w:marRight w:val="0"/>
          <w:marTop w:val="0"/>
          <w:marBottom w:val="0"/>
          <w:divBdr>
            <w:top w:val="none" w:sz="0" w:space="0" w:color="auto"/>
            <w:left w:val="none" w:sz="0" w:space="0" w:color="auto"/>
            <w:bottom w:val="none" w:sz="0" w:space="0" w:color="auto"/>
            <w:right w:val="none" w:sz="0" w:space="0" w:color="auto"/>
          </w:divBdr>
        </w:div>
        <w:div w:id="545338097">
          <w:marLeft w:val="0"/>
          <w:marRight w:val="0"/>
          <w:marTop w:val="0"/>
          <w:marBottom w:val="0"/>
          <w:divBdr>
            <w:top w:val="none" w:sz="0" w:space="0" w:color="auto"/>
            <w:left w:val="none" w:sz="0" w:space="0" w:color="auto"/>
            <w:bottom w:val="none" w:sz="0" w:space="0" w:color="auto"/>
            <w:right w:val="none" w:sz="0" w:space="0" w:color="auto"/>
          </w:divBdr>
        </w:div>
        <w:div w:id="2095128035">
          <w:marLeft w:val="0"/>
          <w:marRight w:val="0"/>
          <w:marTop w:val="0"/>
          <w:marBottom w:val="0"/>
          <w:divBdr>
            <w:top w:val="none" w:sz="0" w:space="0" w:color="auto"/>
            <w:left w:val="none" w:sz="0" w:space="0" w:color="auto"/>
            <w:bottom w:val="none" w:sz="0" w:space="0" w:color="auto"/>
            <w:right w:val="none" w:sz="0" w:space="0" w:color="auto"/>
          </w:divBdr>
        </w:div>
      </w:divsChild>
    </w:div>
    <w:div w:id="269162733">
      <w:bodyDiv w:val="1"/>
      <w:marLeft w:val="0"/>
      <w:marRight w:val="0"/>
      <w:marTop w:val="0"/>
      <w:marBottom w:val="0"/>
      <w:divBdr>
        <w:top w:val="none" w:sz="0" w:space="0" w:color="auto"/>
        <w:left w:val="none" w:sz="0" w:space="0" w:color="auto"/>
        <w:bottom w:val="none" w:sz="0" w:space="0" w:color="auto"/>
        <w:right w:val="none" w:sz="0" w:space="0" w:color="auto"/>
      </w:divBdr>
    </w:div>
    <w:div w:id="276260590">
      <w:bodyDiv w:val="1"/>
      <w:marLeft w:val="0"/>
      <w:marRight w:val="0"/>
      <w:marTop w:val="0"/>
      <w:marBottom w:val="0"/>
      <w:divBdr>
        <w:top w:val="none" w:sz="0" w:space="0" w:color="auto"/>
        <w:left w:val="none" w:sz="0" w:space="0" w:color="auto"/>
        <w:bottom w:val="none" w:sz="0" w:space="0" w:color="auto"/>
        <w:right w:val="none" w:sz="0" w:space="0" w:color="auto"/>
      </w:divBdr>
    </w:div>
    <w:div w:id="280305587">
      <w:bodyDiv w:val="1"/>
      <w:marLeft w:val="0"/>
      <w:marRight w:val="0"/>
      <w:marTop w:val="0"/>
      <w:marBottom w:val="0"/>
      <w:divBdr>
        <w:top w:val="none" w:sz="0" w:space="0" w:color="auto"/>
        <w:left w:val="none" w:sz="0" w:space="0" w:color="auto"/>
        <w:bottom w:val="none" w:sz="0" w:space="0" w:color="auto"/>
        <w:right w:val="none" w:sz="0" w:space="0" w:color="auto"/>
      </w:divBdr>
    </w:div>
    <w:div w:id="281041586">
      <w:bodyDiv w:val="1"/>
      <w:marLeft w:val="0"/>
      <w:marRight w:val="0"/>
      <w:marTop w:val="0"/>
      <w:marBottom w:val="0"/>
      <w:divBdr>
        <w:top w:val="none" w:sz="0" w:space="0" w:color="auto"/>
        <w:left w:val="none" w:sz="0" w:space="0" w:color="auto"/>
        <w:bottom w:val="none" w:sz="0" w:space="0" w:color="auto"/>
        <w:right w:val="none" w:sz="0" w:space="0" w:color="auto"/>
      </w:divBdr>
    </w:div>
    <w:div w:id="285889496">
      <w:bodyDiv w:val="1"/>
      <w:marLeft w:val="0"/>
      <w:marRight w:val="0"/>
      <w:marTop w:val="0"/>
      <w:marBottom w:val="0"/>
      <w:divBdr>
        <w:top w:val="none" w:sz="0" w:space="0" w:color="auto"/>
        <w:left w:val="none" w:sz="0" w:space="0" w:color="auto"/>
        <w:bottom w:val="none" w:sz="0" w:space="0" w:color="auto"/>
        <w:right w:val="none" w:sz="0" w:space="0" w:color="auto"/>
      </w:divBdr>
    </w:div>
    <w:div w:id="294066073">
      <w:bodyDiv w:val="1"/>
      <w:marLeft w:val="0"/>
      <w:marRight w:val="0"/>
      <w:marTop w:val="0"/>
      <w:marBottom w:val="0"/>
      <w:divBdr>
        <w:top w:val="none" w:sz="0" w:space="0" w:color="auto"/>
        <w:left w:val="none" w:sz="0" w:space="0" w:color="auto"/>
        <w:bottom w:val="none" w:sz="0" w:space="0" w:color="auto"/>
        <w:right w:val="none" w:sz="0" w:space="0" w:color="auto"/>
      </w:divBdr>
    </w:div>
    <w:div w:id="300306299">
      <w:bodyDiv w:val="1"/>
      <w:marLeft w:val="0"/>
      <w:marRight w:val="0"/>
      <w:marTop w:val="0"/>
      <w:marBottom w:val="0"/>
      <w:divBdr>
        <w:top w:val="none" w:sz="0" w:space="0" w:color="auto"/>
        <w:left w:val="none" w:sz="0" w:space="0" w:color="auto"/>
        <w:bottom w:val="none" w:sz="0" w:space="0" w:color="auto"/>
        <w:right w:val="none" w:sz="0" w:space="0" w:color="auto"/>
      </w:divBdr>
    </w:div>
    <w:div w:id="312761981">
      <w:bodyDiv w:val="1"/>
      <w:marLeft w:val="0"/>
      <w:marRight w:val="0"/>
      <w:marTop w:val="0"/>
      <w:marBottom w:val="0"/>
      <w:divBdr>
        <w:top w:val="none" w:sz="0" w:space="0" w:color="auto"/>
        <w:left w:val="none" w:sz="0" w:space="0" w:color="auto"/>
        <w:bottom w:val="none" w:sz="0" w:space="0" w:color="auto"/>
        <w:right w:val="none" w:sz="0" w:space="0" w:color="auto"/>
      </w:divBdr>
    </w:div>
    <w:div w:id="314797988">
      <w:bodyDiv w:val="1"/>
      <w:marLeft w:val="0"/>
      <w:marRight w:val="0"/>
      <w:marTop w:val="0"/>
      <w:marBottom w:val="0"/>
      <w:divBdr>
        <w:top w:val="none" w:sz="0" w:space="0" w:color="auto"/>
        <w:left w:val="none" w:sz="0" w:space="0" w:color="auto"/>
        <w:bottom w:val="none" w:sz="0" w:space="0" w:color="auto"/>
        <w:right w:val="none" w:sz="0" w:space="0" w:color="auto"/>
      </w:divBdr>
    </w:div>
    <w:div w:id="322005917">
      <w:bodyDiv w:val="1"/>
      <w:marLeft w:val="0"/>
      <w:marRight w:val="0"/>
      <w:marTop w:val="0"/>
      <w:marBottom w:val="0"/>
      <w:divBdr>
        <w:top w:val="none" w:sz="0" w:space="0" w:color="auto"/>
        <w:left w:val="none" w:sz="0" w:space="0" w:color="auto"/>
        <w:bottom w:val="none" w:sz="0" w:space="0" w:color="auto"/>
        <w:right w:val="none" w:sz="0" w:space="0" w:color="auto"/>
      </w:divBdr>
    </w:div>
    <w:div w:id="334768177">
      <w:bodyDiv w:val="1"/>
      <w:marLeft w:val="0"/>
      <w:marRight w:val="0"/>
      <w:marTop w:val="0"/>
      <w:marBottom w:val="0"/>
      <w:divBdr>
        <w:top w:val="none" w:sz="0" w:space="0" w:color="auto"/>
        <w:left w:val="none" w:sz="0" w:space="0" w:color="auto"/>
        <w:bottom w:val="none" w:sz="0" w:space="0" w:color="auto"/>
        <w:right w:val="none" w:sz="0" w:space="0" w:color="auto"/>
      </w:divBdr>
    </w:div>
    <w:div w:id="338582893">
      <w:bodyDiv w:val="1"/>
      <w:marLeft w:val="0"/>
      <w:marRight w:val="0"/>
      <w:marTop w:val="0"/>
      <w:marBottom w:val="0"/>
      <w:divBdr>
        <w:top w:val="none" w:sz="0" w:space="0" w:color="auto"/>
        <w:left w:val="none" w:sz="0" w:space="0" w:color="auto"/>
        <w:bottom w:val="none" w:sz="0" w:space="0" w:color="auto"/>
        <w:right w:val="none" w:sz="0" w:space="0" w:color="auto"/>
      </w:divBdr>
    </w:div>
    <w:div w:id="339545459">
      <w:bodyDiv w:val="1"/>
      <w:marLeft w:val="0"/>
      <w:marRight w:val="0"/>
      <w:marTop w:val="0"/>
      <w:marBottom w:val="0"/>
      <w:divBdr>
        <w:top w:val="none" w:sz="0" w:space="0" w:color="auto"/>
        <w:left w:val="none" w:sz="0" w:space="0" w:color="auto"/>
        <w:bottom w:val="none" w:sz="0" w:space="0" w:color="auto"/>
        <w:right w:val="none" w:sz="0" w:space="0" w:color="auto"/>
      </w:divBdr>
    </w:div>
    <w:div w:id="339622335">
      <w:bodyDiv w:val="1"/>
      <w:marLeft w:val="0"/>
      <w:marRight w:val="0"/>
      <w:marTop w:val="0"/>
      <w:marBottom w:val="0"/>
      <w:divBdr>
        <w:top w:val="none" w:sz="0" w:space="0" w:color="auto"/>
        <w:left w:val="none" w:sz="0" w:space="0" w:color="auto"/>
        <w:bottom w:val="none" w:sz="0" w:space="0" w:color="auto"/>
        <w:right w:val="none" w:sz="0" w:space="0" w:color="auto"/>
      </w:divBdr>
    </w:div>
    <w:div w:id="342323040">
      <w:bodyDiv w:val="1"/>
      <w:marLeft w:val="0"/>
      <w:marRight w:val="0"/>
      <w:marTop w:val="0"/>
      <w:marBottom w:val="0"/>
      <w:divBdr>
        <w:top w:val="none" w:sz="0" w:space="0" w:color="auto"/>
        <w:left w:val="none" w:sz="0" w:space="0" w:color="auto"/>
        <w:bottom w:val="none" w:sz="0" w:space="0" w:color="auto"/>
        <w:right w:val="none" w:sz="0" w:space="0" w:color="auto"/>
      </w:divBdr>
    </w:div>
    <w:div w:id="343213735">
      <w:bodyDiv w:val="1"/>
      <w:marLeft w:val="0"/>
      <w:marRight w:val="0"/>
      <w:marTop w:val="0"/>
      <w:marBottom w:val="0"/>
      <w:divBdr>
        <w:top w:val="none" w:sz="0" w:space="0" w:color="auto"/>
        <w:left w:val="none" w:sz="0" w:space="0" w:color="auto"/>
        <w:bottom w:val="none" w:sz="0" w:space="0" w:color="auto"/>
        <w:right w:val="none" w:sz="0" w:space="0" w:color="auto"/>
      </w:divBdr>
      <w:divsChild>
        <w:div w:id="659189409">
          <w:marLeft w:val="446"/>
          <w:marRight w:val="0"/>
          <w:marTop w:val="0"/>
          <w:marBottom w:val="0"/>
          <w:divBdr>
            <w:top w:val="none" w:sz="0" w:space="0" w:color="auto"/>
            <w:left w:val="none" w:sz="0" w:space="0" w:color="auto"/>
            <w:bottom w:val="none" w:sz="0" w:space="0" w:color="auto"/>
            <w:right w:val="none" w:sz="0" w:space="0" w:color="auto"/>
          </w:divBdr>
        </w:div>
        <w:div w:id="656763692">
          <w:marLeft w:val="446"/>
          <w:marRight w:val="0"/>
          <w:marTop w:val="0"/>
          <w:marBottom w:val="0"/>
          <w:divBdr>
            <w:top w:val="none" w:sz="0" w:space="0" w:color="auto"/>
            <w:left w:val="none" w:sz="0" w:space="0" w:color="auto"/>
            <w:bottom w:val="none" w:sz="0" w:space="0" w:color="auto"/>
            <w:right w:val="none" w:sz="0" w:space="0" w:color="auto"/>
          </w:divBdr>
        </w:div>
      </w:divsChild>
    </w:div>
    <w:div w:id="344136274">
      <w:bodyDiv w:val="1"/>
      <w:marLeft w:val="0"/>
      <w:marRight w:val="0"/>
      <w:marTop w:val="0"/>
      <w:marBottom w:val="0"/>
      <w:divBdr>
        <w:top w:val="none" w:sz="0" w:space="0" w:color="auto"/>
        <w:left w:val="none" w:sz="0" w:space="0" w:color="auto"/>
        <w:bottom w:val="none" w:sz="0" w:space="0" w:color="auto"/>
        <w:right w:val="none" w:sz="0" w:space="0" w:color="auto"/>
      </w:divBdr>
    </w:div>
    <w:div w:id="347290351">
      <w:bodyDiv w:val="1"/>
      <w:marLeft w:val="0"/>
      <w:marRight w:val="0"/>
      <w:marTop w:val="0"/>
      <w:marBottom w:val="0"/>
      <w:divBdr>
        <w:top w:val="none" w:sz="0" w:space="0" w:color="auto"/>
        <w:left w:val="none" w:sz="0" w:space="0" w:color="auto"/>
        <w:bottom w:val="none" w:sz="0" w:space="0" w:color="auto"/>
        <w:right w:val="none" w:sz="0" w:space="0" w:color="auto"/>
      </w:divBdr>
    </w:div>
    <w:div w:id="347607346">
      <w:bodyDiv w:val="1"/>
      <w:marLeft w:val="0"/>
      <w:marRight w:val="0"/>
      <w:marTop w:val="0"/>
      <w:marBottom w:val="0"/>
      <w:divBdr>
        <w:top w:val="none" w:sz="0" w:space="0" w:color="auto"/>
        <w:left w:val="none" w:sz="0" w:space="0" w:color="auto"/>
        <w:bottom w:val="none" w:sz="0" w:space="0" w:color="auto"/>
        <w:right w:val="none" w:sz="0" w:space="0" w:color="auto"/>
      </w:divBdr>
    </w:div>
    <w:div w:id="355232619">
      <w:bodyDiv w:val="1"/>
      <w:marLeft w:val="0"/>
      <w:marRight w:val="0"/>
      <w:marTop w:val="0"/>
      <w:marBottom w:val="0"/>
      <w:divBdr>
        <w:top w:val="none" w:sz="0" w:space="0" w:color="auto"/>
        <w:left w:val="none" w:sz="0" w:space="0" w:color="auto"/>
        <w:bottom w:val="none" w:sz="0" w:space="0" w:color="auto"/>
        <w:right w:val="none" w:sz="0" w:space="0" w:color="auto"/>
      </w:divBdr>
    </w:div>
    <w:div w:id="361135397">
      <w:bodyDiv w:val="1"/>
      <w:marLeft w:val="0"/>
      <w:marRight w:val="0"/>
      <w:marTop w:val="0"/>
      <w:marBottom w:val="0"/>
      <w:divBdr>
        <w:top w:val="none" w:sz="0" w:space="0" w:color="auto"/>
        <w:left w:val="none" w:sz="0" w:space="0" w:color="auto"/>
        <w:bottom w:val="none" w:sz="0" w:space="0" w:color="auto"/>
        <w:right w:val="none" w:sz="0" w:space="0" w:color="auto"/>
      </w:divBdr>
      <w:divsChild>
        <w:div w:id="772019299">
          <w:marLeft w:val="480"/>
          <w:marRight w:val="0"/>
          <w:marTop w:val="0"/>
          <w:marBottom w:val="0"/>
          <w:divBdr>
            <w:top w:val="none" w:sz="0" w:space="0" w:color="auto"/>
            <w:left w:val="none" w:sz="0" w:space="0" w:color="auto"/>
            <w:bottom w:val="none" w:sz="0" w:space="0" w:color="auto"/>
            <w:right w:val="none" w:sz="0" w:space="0" w:color="auto"/>
          </w:divBdr>
          <w:divsChild>
            <w:div w:id="19737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717">
      <w:bodyDiv w:val="1"/>
      <w:marLeft w:val="0"/>
      <w:marRight w:val="0"/>
      <w:marTop w:val="0"/>
      <w:marBottom w:val="0"/>
      <w:divBdr>
        <w:top w:val="none" w:sz="0" w:space="0" w:color="auto"/>
        <w:left w:val="none" w:sz="0" w:space="0" w:color="auto"/>
        <w:bottom w:val="none" w:sz="0" w:space="0" w:color="auto"/>
        <w:right w:val="none" w:sz="0" w:space="0" w:color="auto"/>
      </w:divBdr>
      <w:divsChild>
        <w:div w:id="1034960500">
          <w:marLeft w:val="480"/>
          <w:marRight w:val="0"/>
          <w:marTop w:val="0"/>
          <w:marBottom w:val="0"/>
          <w:divBdr>
            <w:top w:val="none" w:sz="0" w:space="0" w:color="auto"/>
            <w:left w:val="none" w:sz="0" w:space="0" w:color="auto"/>
            <w:bottom w:val="none" w:sz="0" w:space="0" w:color="auto"/>
            <w:right w:val="none" w:sz="0" w:space="0" w:color="auto"/>
          </w:divBdr>
          <w:divsChild>
            <w:div w:id="19119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57068">
      <w:bodyDiv w:val="1"/>
      <w:marLeft w:val="0"/>
      <w:marRight w:val="0"/>
      <w:marTop w:val="0"/>
      <w:marBottom w:val="0"/>
      <w:divBdr>
        <w:top w:val="none" w:sz="0" w:space="0" w:color="auto"/>
        <w:left w:val="none" w:sz="0" w:space="0" w:color="auto"/>
        <w:bottom w:val="none" w:sz="0" w:space="0" w:color="auto"/>
        <w:right w:val="none" w:sz="0" w:space="0" w:color="auto"/>
      </w:divBdr>
    </w:div>
    <w:div w:id="363409722">
      <w:bodyDiv w:val="1"/>
      <w:marLeft w:val="0"/>
      <w:marRight w:val="0"/>
      <w:marTop w:val="0"/>
      <w:marBottom w:val="0"/>
      <w:divBdr>
        <w:top w:val="none" w:sz="0" w:space="0" w:color="auto"/>
        <w:left w:val="none" w:sz="0" w:space="0" w:color="auto"/>
        <w:bottom w:val="none" w:sz="0" w:space="0" w:color="auto"/>
        <w:right w:val="none" w:sz="0" w:space="0" w:color="auto"/>
      </w:divBdr>
      <w:divsChild>
        <w:div w:id="1944334887">
          <w:marLeft w:val="48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8718">
      <w:bodyDiv w:val="1"/>
      <w:marLeft w:val="0"/>
      <w:marRight w:val="0"/>
      <w:marTop w:val="0"/>
      <w:marBottom w:val="0"/>
      <w:divBdr>
        <w:top w:val="none" w:sz="0" w:space="0" w:color="auto"/>
        <w:left w:val="none" w:sz="0" w:space="0" w:color="auto"/>
        <w:bottom w:val="none" w:sz="0" w:space="0" w:color="auto"/>
        <w:right w:val="none" w:sz="0" w:space="0" w:color="auto"/>
      </w:divBdr>
    </w:div>
    <w:div w:id="368380257">
      <w:bodyDiv w:val="1"/>
      <w:marLeft w:val="0"/>
      <w:marRight w:val="0"/>
      <w:marTop w:val="0"/>
      <w:marBottom w:val="0"/>
      <w:divBdr>
        <w:top w:val="none" w:sz="0" w:space="0" w:color="auto"/>
        <w:left w:val="none" w:sz="0" w:space="0" w:color="auto"/>
        <w:bottom w:val="none" w:sz="0" w:space="0" w:color="auto"/>
        <w:right w:val="none" w:sz="0" w:space="0" w:color="auto"/>
      </w:divBdr>
    </w:div>
    <w:div w:id="375348878">
      <w:bodyDiv w:val="1"/>
      <w:marLeft w:val="0"/>
      <w:marRight w:val="0"/>
      <w:marTop w:val="0"/>
      <w:marBottom w:val="0"/>
      <w:divBdr>
        <w:top w:val="none" w:sz="0" w:space="0" w:color="auto"/>
        <w:left w:val="none" w:sz="0" w:space="0" w:color="auto"/>
        <w:bottom w:val="none" w:sz="0" w:space="0" w:color="auto"/>
        <w:right w:val="none" w:sz="0" w:space="0" w:color="auto"/>
      </w:divBdr>
      <w:divsChild>
        <w:div w:id="564072566">
          <w:marLeft w:val="480"/>
          <w:marRight w:val="0"/>
          <w:marTop w:val="0"/>
          <w:marBottom w:val="0"/>
          <w:divBdr>
            <w:top w:val="none" w:sz="0" w:space="0" w:color="auto"/>
            <w:left w:val="none" w:sz="0" w:space="0" w:color="auto"/>
            <w:bottom w:val="none" w:sz="0" w:space="0" w:color="auto"/>
            <w:right w:val="none" w:sz="0" w:space="0" w:color="auto"/>
          </w:divBdr>
          <w:divsChild>
            <w:div w:id="12394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9402">
      <w:bodyDiv w:val="1"/>
      <w:marLeft w:val="0"/>
      <w:marRight w:val="0"/>
      <w:marTop w:val="0"/>
      <w:marBottom w:val="0"/>
      <w:divBdr>
        <w:top w:val="none" w:sz="0" w:space="0" w:color="auto"/>
        <w:left w:val="none" w:sz="0" w:space="0" w:color="auto"/>
        <w:bottom w:val="none" w:sz="0" w:space="0" w:color="auto"/>
        <w:right w:val="none" w:sz="0" w:space="0" w:color="auto"/>
      </w:divBdr>
    </w:div>
    <w:div w:id="390080973">
      <w:bodyDiv w:val="1"/>
      <w:marLeft w:val="0"/>
      <w:marRight w:val="0"/>
      <w:marTop w:val="0"/>
      <w:marBottom w:val="0"/>
      <w:divBdr>
        <w:top w:val="none" w:sz="0" w:space="0" w:color="auto"/>
        <w:left w:val="none" w:sz="0" w:space="0" w:color="auto"/>
        <w:bottom w:val="none" w:sz="0" w:space="0" w:color="auto"/>
        <w:right w:val="none" w:sz="0" w:space="0" w:color="auto"/>
      </w:divBdr>
    </w:div>
    <w:div w:id="395053545">
      <w:bodyDiv w:val="1"/>
      <w:marLeft w:val="0"/>
      <w:marRight w:val="0"/>
      <w:marTop w:val="0"/>
      <w:marBottom w:val="0"/>
      <w:divBdr>
        <w:top w:val="none" w:sz="0" w:space="0" w:color="auto"/>
        <w:left w:val="none" w:sz="0" w:space="0" w:color="auto"/>
        <w:bottom w:val="none" w:sz="0" w:space="0" w:color="auto"/>
        <w:right w:val="none" w:sz="0" w:space="0" w:color="auto"/>
      </w:divBdr>
    </w:div>
    <w:div w:id="406541708">
      <w:bodyDiv w:val="1"/>
      <w:marLeft w:val="0"/>
      <w:marRight w:val="0"/>
      <w:marTop w:val="0"/>
      <w:marBottom w:val="0"/>
      <w:divBdr>
        <w:top w:val="none" w:sz="0" w:space="0" w:color="auto"/>
        <w:left w:val="none" w:sz="0" w:space="0" w:color="auto"/>
        <w:bottom w:val="none" w:sz="0" w:space="0" w:color="auto"/>
        <w:right w:val="none" w:sz="0" w:space="0" w:color="auto"/>
      </w:divBdr>
    </w:div>
    <w:div w:id="410470200">
      <w:bodyDiv w:val="1"/>
      <w:marLeft w:val="0"/>
      <w:marRight w:val="0"/>
      <w:marTop w:val="0"/>
      <w:marBottom w:val="0"/>
      <w:divBdr>
        <w:top w:val="none" w:sz="0" w:space="0" w:color="auto"/>
        <w:left w:val="none" w:sz="0" w:space="0" w:color="auto"/>
        <w:bottom w:val="none" w:sz="0" w:space="0" w:color="auto"/>
        <w:right w:val="none" w:sz="0" w:space="0" w:color="auto"/>
      </w:divBdr>
    </w:div>
    <w:div w:id="423185507">
      <w:bodyDiv w:val="1"/>
      <w:marLeft w:val="0"/>
      <w:marRight w:val="0"/>
      <w:marTop w:val="0"/>
      <w:marBottom w:val="0"/>
      <w:divBdr>
        <w:top w:val="none" w:sz="0" w:space="0" w:color="auto"/>
        <w:left w:val="none" w:sz="0" w:space="0" w:color="auto"/>
        <w:bottom w:val="none" w:sz="0" w:space="0" w:color="auto"/>
        <w:right w:val="none" w:sz="0" w:space="0" w:color="auto"/>
      </w:divBdr>
    </w:div>
    <w:div w:id="433018985">
      <w:bodyDiv w:val="1"/>
      <w:marLeft w:val="0"/>
      <w:marRight w:val="0"/>
      <w:marTop w:val="0"/>
      <w:marBottom w:val="0"/>
      <w:divBdr>
        <w:top w:val="none" w:sz="0" w:space="0" w:color="auto"/>
        <w:left w:val="none" w:sz="0" w:space="0" w:color="auto"/>
        <w:bottom w:val="none" w:sz="0" w:space="0" w:color="auto"/>
        <w:right w:val="none" w:sz="0" w:space="0" w:color="auto"/>
      </w:divBdr>
    </w:div>
    <w:div w:id="434984770">
      <w:bodyDiv w:val="1"/>
      <w:marLeft w:val="0"/>
      <w:marRight w:val="0"/>
      <w:marTop w:val="0"/>
      <w:marBottom w:val="0"/>
      <w:divBdr>
        <w:top w:val="none" w:sz="0" w:space="0" w:color="auto"/>
        <w:left w:val="none" w:sz="0" w:space="0" w:color="auto"/>
        <w:bottom w:val="none" w:sz="0" w:space="0" w:color="auto"/>
        <w:right w:val="none" w:sz="0" w:space="0" w:color="auto"/>
      </w:divBdr>
    </w:div>
    <w:div w:id="435756297">
      <w:bodyDiv w:val="1"/>
      <w:marLeft w:val="0"/>
      <w:marRight w:val="0"/>
      <w:marTop w:val="0"/>
      <w:marBottom w:val="0"/>
      <w:divBdr>
        <w:top w:val="none" w:sz="0" w:space="0" w:color="auto"/>
        <w:left w:val="none" w:sz="0" w:space="0" w:color="auto"/>
        <w:bottom w:val="none" w:sz="0" w:space="0" w:color="auto"/>
        <w:right w:val="none" w:sz="0" w:space="0" w:color="auto"/>
      </w:divBdr>
      <w:divsChild>
        <w:div w:id="2036492268">
          <w:marLeft w:val="0"/>
          <w:marRight w:val="0"/>
          <w:marTop w:val="0"/>
          <w:marBottom w:val="0"/>
          <w:divBdr>
            <w:top w:val="none" w:sz="0" w:space="0" w:color="auto"/>
            <w:left w:val="none" w:sz="0" w:space="0" w:color="auto"/>
            <w:bottom w:val="none" w:sz="0" w:space="0" w:color="auto"/>
            <w:right w:val="none" w:sz="0" w:space="0" w:color="auto"/>
          </w:divBdr>
        </w:div>
        <w:div w:id="2040231011">
          <w:marLeft w:val="0"/>
          <w:marRight w:val="0"/>
          <w:marTop w:val="0"/>
          <w:marBottom w:val="0"/>
          <w:divBdr>
            <w:top w:val="none" w:sz="0" w:space="0" w:color="auto"/>
            <w:left w:val="none" w:sz="0" w:space="0" w:color="auto"/>
            <w:bottom w:val="none" w:sz="0" w:space="0" w:color="auto"/>
            <w:right w:val="none" w:sz="0" w:space="0" w:color="auto"/>
          </w:divBdr>
        </w:div>
        <w:div w:id="714350414">
          <w:marLeft w:val="0"/>
          <w:marRight w:val="0"/>
          <w:marTop w:val="0"/>
          <w:marBottom w:val="0"/>
          <w:divBdr>
            <w:top w:val="none" w:sz="0" w:space="0" w:color="auto"/>
            <w:left w:val="none" w:sz="0" w:space="0" w:color="auto"/>
            <w:bottom w:val="none" w:sz="0" w:space="0" w:color="auto"/>
            <w:right w:val="none" w:sz="0" w:space="0" w:color="auto"/>
          </w:divBdr>
        </w:div>
        <w:div w:id="368265701">
          <w:marLeft w:val="0"/>
          <w:marRight w:val="0"/>
          <w:marTop w:val="0"/>
          <w:marBottom w:val="0"/>
          <w:divBdr>
            <w:top w:val="none" w:sz="0" w:space="0" w:color="auto"/>
            <w:left w:val="none" w:sz="0" w:space="0" w:color="auto"/>
            <w:bottom w:val="none" w:sz="0" w:space="0" w:color="auto"/>
            <w:right w:val="none" w:sz="0" w:space="0" w:color="auto"/>
          </w:divBdr>
        </w:div>
        <w:div w:id="1649360751">
          <w:marLeft w:val="0"/>
          <w:marRight w:val="0"/>
          <w:marTop w:val="0"/>
          <w:marBottom w:val="0"/>
          <w:divBdr>
            <w:top w:val="none" w:sz="0" w:space="0" w:color="auto"/>
            <w:left w:val="none" w:sz="0" w:space="0" w:color="auto"/>
            <w:bottom w:val="none" w:sz="0" w:space="0" w:color="auto"/>
            <w:right w:val="none" w:sz="0" w:space="0" w:color="auto"/>
          </w:divBdr>
        </w:div>
        <w:div w:id="313220002">
          <w:marLeft w:val="0"/>
          <w:marRight w:val="0"/>
          <w:marTop w:val="0"/>
          <w:marBottom w:val="0"/>
          <w:divBdr>
            <w:top w:val="none" w:sz="0" w:space="0" w:color="auto"/>
            <w:left w:val="none" w:sz="0" w:space="0" w:color="auto"/>
            <w:bottom w:val="none" w:sz="0" w:space="0" w:color="auto"/>
            <w:right w:val="none" w:sz="0" w:space="0" w:color="auto"/>
          </w:divBdr>
        </w:div>
        <w:div w:id="1729958300">
          <w:marLeft w:val="0"/>
          <w:marRight w:val="0"/>
          <w:marTop w:val="0"/>
          <w:marBottom w:val="0"/>
          <w:divBdr>
            <w:top w:val="none" w:sz="0" w:space="0" w:color="auto"/>
            <w:left w:val="none" w:sz="0" w:space="0" w:color="auto"/>
            <w:bottom w:val="none" w:sz="0" w:space="0" w:color="auto"/>
            <w:right w:val="none" w:sz="0" w:space="0" w:color="auto"/>
          </w:divBdr>
        </w:div>
        <w:div w:id="706686073">
          <w:marLeft w:val="0"/>
          <w:marRight w:val="0"/>
          <w:marTop w:val="0"/>
          <w:marBottom w:val="0"/>
          <w:divBdr>
            <w:top w:val="none" w:sz="0" w:space="0" w:color="auto"/>
            <w:left w:val="none" w:sz="0" w:space="0" w:color="auto"/>
            <w:bottom w:val="none" w:sz="0" w:space="0" w:color="auto"/>
            <w:right w:val="none" w:sz="0" w:space="0" w:color="auto"/>
          </w:divBdr>
        </w:div>
        <w:div w:id="914364860">
          <w:marLeft w:val="0"/>
          <w:marRight w:val="0"/>
          <w:marTop w:val="0"/>
          <w:marBottom w:val="0"/>
          <w:divBdr>
            <w:top w:val="none" w:sz="0" w:space="0" w:color="auto"/>
            <w:left w:val="none" w:sz="0" w:space="0" w:color="auto"/>
            <w:bottom w:val="none" w:sz="0" w:space="0" w:color="auto"/>
            <w:right w:val="none" w:sz="0" w:space="0" w:color="auto"/>
          </w:divBdr>
        </w:div>
        <w:div w:id="1111124390">
          <w:marLeft w:val="0"/>
          <w:marRight w:val="0"/>
          <w:marTop w:val="0"/>
          <w:marBottom w:val="0"/>
          <w:divBdr>
            <w:top w:val="none" w:sz="0" w:space="0" w:color="auto"/>
            <w:left w:val="none" w:sz="0" w:space="0" w:color="auto"/>
            <w:bottom w:val="none" w:sz="0" w:space="0" w:color="auto"/>
            <w:right w:val="none" w:sz="0" w:space="0" w:color="auto"/>
          </w:divBdr>
        </w:div>
        <w:div w:id="780996823">
          <w:marLeft w:val="0"/>
          <w:marRight w:val="0"/>
          <w:marTop w:val="0"/>
          <w:marBottom w:val="0"/>
          <w:divBdr>
            <w:top w:val="none" w:sz="0" w:space="0" w:color="auto"/>
            <w:left w:val="none" w:sz="0" w:space="0" w:color="auto"/>
            <w:bottom w:val="none" w:sz="0" w:space="0" w:color="auto"/>
            <w:right w:val="none" w:sz="0" w:space="0" w:color="auto"/>
          </w:divBdr>
        </w:div>
        <w:div w:id="168757532">
          <w:marLeft w:val="0"/>
          <w:marRight w:val="0"/>
          <w:marTop w:val="0"/>
          <w:marBottom w:val="0"/>
          <w:divBdr>
            <w:top w:val="none" w:sz="0" w:space="0" w:color="auto"/>
            <w:left w:val="none" w:sz="0" w:space="0" w:color="auto"/>
            <w:bottom w:val="none" w:sz="0" w:space="0" w:color="auto"/>
            <w:right w:val="none" w:sz="0" w:space="0" w:color="auto"/>
          </w:divBdr>
        </w:div>
        <w:div w:id="106512717">
          <w:marLeft w:val="0"/>
          <w:marRight w:val="0"/>
          <w:marTop w:val="0"/>
          <w:marBottom w:val="0"/>
          <w:divBdr>
            <w:top w:val="none" w:sz="0" w:space="0" w:color="auto"/>
            <w:left w:val="none" w:sz="0" w:space="0" w:color="auto"/>
            <w:bottom w:val="none" w:sz="0" w:space="0" w:color="auto"/>
            <w:right w:val="none" w:sz="0" w:space="0" w:color="auto"/>
          </w:divBdr>
        </w:div>
        <w:div w:id="1099715135">
          <w:marLeft w:val="0"/>
          <w:marRight w:val="0"/>
          <w:marTop w:val="0"/>
          <w:marBottom w:val="0"/>
          <w:divBdr>
            <w:top w:val="none" w:sz="0" w:space="0" w:color="auto"/>
            <w:left w:val="none" w:sz="0" w:space="0" w:color="auto"/>
            <w:bottom w:val="none" w:sz="0" w:space="0" w:color="auto"/>
            <w:right w:val="none" w:sz="0" w:space="0" w:color="auto"/>
          </w:divBdr>
        </w:div>
        <w:div w:id="1698778209">
          <w:marLeft w:val="0"/>
          <w:marRight w:val="0"/>
          <w:marTop w:val="0"/>
          <w:marBottom w:val="0"/>
          <w:divBdr>
            <w:top w:val="none" w:sz="0" w:space="0" w:color="auto"/>
            <w:left w:val="none" w:sz="0" w:space="0" w:color="auto"/>
            <w:bottom w:val="none" w:sz="0" w:space="0" w:color="auto"/>
            <w:right w:val="none" w:sz="0" w:space="0" w:color="auto"/>
          </w:divBdr>
        </w:div>
        <w:div w:id="1309361624">
          <w:marLeft w:val="0"/>
          <w:marRight w:val="0"/>
          <w:marTop w:val="0"/>
          <w:marBottom w:val="0"/>
          <w:divBdr>
            <w:top w:val="none" w:sz="0" w:space="0" w:color="auto"/>
            <w:left w:val="none" w:sz="0" w:space="0" w:color="auto"/>
            <w:bottom w:val="none" w:sz="0" w:space="0" w:color="auto"/>
            <w:right w:val="none" w:sz="0" w:space="0" w:color="auto"/>
          </w:divBdr>
        </w:div>
      </w:divsChild>
    </w:div>
    <w:div w:id="437607709">
      <w:bodyDiv w:val="1"/>
      <w:marLeft w:val="0"/>
      <w:marRight w:val="0"/>
      <w:marTop w:val="0"/>
      <w:marBottom w:val="0"/>
      <w:divBdr>
        <w:top w:val="none" w:sz="0" w:space="0" w:color="auto"/>
        <w:left w:val="none" w:sz="0" w:space="0" w:color="auto"/>
        <w:bottom w:val="none" w:sz="0" w:space="0" w:color="auto"/>
        <w:right w:val="none" w:sz="0" w:space="0" w:color="auto"/>
      </w:divBdr>
    </w:div>
    <w:div w:id="441997176">
      <w:bodyDiv w:val="1"/>
      <w:marLeft w:val="0"/>
      <w:marRight w:val="0"/>
      <w:marTop w:val="0"/>
      <w:marBottom w:val="0"/>
      <w:divBdr>
        <w:top w:val="none" w:sz="0" w:space="0" w:color="auto"/>
        <w:left w:val="none" w:sz="0" w:space="0" w:color="auto"/>
        <w:bottom w:val="none" w:sz="0" w:space="0" w:color="auto"/>
        <w:right w:val="none" w:sz="0" w:space="0" w:color="auto"/>
      </w:divBdr>
    </w:div>
    <w:div w:id="445589443">
      <w:bodyDiv w:val="1"/>
      <w:marLeft w:val="0"/>
      <w:marRight w:val="0"/>
      <w:marTop w:val="0"/>
      <w:marBottom w:val="0"/>
      <w:divBdr>
        <w:top w:val="none" w:sz="0" w:space="0" w:color="auto"/>
        <w:left w:val="none" w:sz="0" w:space="0" w:color="auto"/>
        <w:bottom w:val="none" w:sz="0" w:space="0" w:color="auto"/>
        <w:right w:val="none" w:sz="0" w:space="0" w:color="auto"/>
      </w:divBdr>
      <w:divsChild>
        <w:div w:id="886382476">
          <w:marLeft w:val="0"/>
          <w:marRight w:val="0"/>
          <w:marTop w:val="0"/>
          <w:marBottom w:val="0"/>
          <w:divBdr>
            <w:top w:val="none" w:sz="0" w:space="0" w:color="auto"/>
            <w:left w:val="none" w:sz="0" w:space="0" w:color="auto"/>
            <w:bottom w:val="none" w:sz="0" w:space="0" w:color="auto"/>
            <w:right w:val="none" w:sz="0" w:space="0" w:color="auto"/>
          </w:divBdr>
        </w:div>
        <w:div w:id="1462452780">
          <w:marLeft w:val="0"/>
          <w:marRight w:val="0"/>
          <w:marTop w:val="0"/>
          <w:marBottom w:val="0"/>
          <w:divBdr>
            <w:top w:val="none" w:sz="0" w:space="0" w:color="auto"/>
            <w:left w:val="none" w:sz="0" w:space="0" w:color="auto"/>
            <w:bottom w:val="none" w:sz="0" w:space="0" w:color="auto"/>
            <w:right w:val="none" w:sz="0" w:space="0" w:color="auto"/>
          </w:divBdr>
          <w:divsChild>
            <w:div w:id="836964919">
              <w:marLeft w:val="0"/>
              <w:marRight w:val="0"/>
              <w:marTop w:val="30"/>
              <w:marBottom w:val="30"/>
              <w:divBdr>
                <w:top w:val="none" w:sz="0" w:space="0" w:color="auto"/>
                <w:left w:val="none" w:sz="0" w:space="0" w:color="auto"/>
                <w:bottom w:val="none" w:sz="0" w:space="0" w:color="auto"/>
                <w:right w:val="none" w:sz="0" w:space="0" w:color="auto"/>
              </w:divBdr>
              <w:divsChild>
                <w:div w:id="286011179">
                  <w:marLeft w:val="0"/>
                  <w:marRight w:val="0"/>
                  <w:marTop w:val="0"/>
                  <w:marBottom w:val="0"/>
                  <w:divBdr>
                    <w:top w:val="none" w:sz="0" w:space="0" w:color="auto"/>
                    <w:left w:val="none" w:sz="0" w:space="0" w:color="auto"/>
                    <w:bottom w:val="none" w:sz="0" w:space="0" w:color="auto"/>
                    <w:right w:val="none" w:sz="0" w:space="0" w:color="auto"/>
                  </w:divBdr>
                  <w:divsChild>
                    <w:div w:id="1089621558">
                      <w:marLeft w:val="0"/>
                      <w:marRight w:val="0"/>
                      <w:marTop w:val="0"/>
                      <w:marBottom w:val="0"/>
                      <w:divBdr>
                        <w:top w:val="none" w:sz="0" w:space="0" w:color="auto"/>
                        <w:left w:val="none" w:sz="0" w:space="0" w:color="auto"/>
                        <w:bottom w:val="none" w:sz="0" w:space="0" w:color="auto"/>
                        <w:right w:val="none" w:sz="0" w:space="0" w:color="auto"/>
                      </w:divBdr>
                    </w:div>
                  </w:divsChild>
                </w:div>
                <w:div w:id="278878203">
                  <w:marLeft w:val="0"/>
                  <w:marRight w:val="0"/>
                  <w:marTop w:val="0"/>
                  <w:marBottom w:val="0"/>
                  <w:divBdr>
                    <w:top w:val="none" w:sz="0" w:space="0" w:color="auto"/>
                    <w:left w:val="none" w:sz="0" w:space="0" w:color="auto"/>
                    <w:bottom w:val="none" w:sz="0" w:space="0" w:color="auto"/>
                    <w:right w:val="none" w:sz="0" w:space="0" w:color="auto"/>
                  </w:divBdr>
                  <w:divsChild>
                    <w:div w:id="305547069">
                      <w:marLeft w:val="0"/>
                      <w:marRight w:val="0"/>
                      <w:marTop w:val="0"/>
                      <w:marBottom w:val="0"/>
                      <w:divBdr>
                        <w:top w:val="none" w:sz="0" w:space="0" w:color="auto"/>
                        <w:left w:val="none" w:sz="0" w:space="0" w:color="auto"/>
                        <w:bottom w:val="none" w:sz="0" w:space="0" w:color="auto"/>
                        <w:right w:val="none" w:sz="0" w:space="0" w:color="auto"/>
                      </w:divBdr>
                    </w:div>
                  </w:divsChild>
                </w:div>
                <w:div w:id="1598706467">
                  <w:marLeft w:val="0"/>
                  <w:marRight w:val="0"/>
                  <w:marTop w:val="0"/>
                  <w:marBottom w:val="0"/>
                  <w:divBdr>
                    <w:top w:val="none" w:sz="0" w:space="0" w:color="auto"/>
                    <w:left w:val="none" w:sz="0" w:space="0" w:color="auto"/>
                    <w:bottom w:val="none" w:sz="0" w:space="0" w:color="auto"/>
                    <w:right w:val="none" w:sz="0" w:space="0" w:color="auto"/>
                  </w:divBdr>
                  <w:divsChild>
                    <w:div w:id="1475028130">
                      <w:marLeft w:val="0"/>
                      <w:marRight w:val="0"/>
                      <w:marTop w:val="0"/>
                      <w:marBottom w:val="0"/>
                      <w:divBdr>
                        <w:top w:val="none" w:sz="0" w:space="0" w:color="auto"/>
                        <w:left w:val="none" w:sz="0" w:space="0" w:color="auto"/>
                        <w:bottom w:val="none" w:sz="0" w:space="0" w:color="auto"/>
                        <w:right w:val="none" w:sz="0" w:space="0" w:color="auto"/>
                      </w:divBdr>
                    </w:div>
                  </w:divsChild>
                </w:div>
                <w:div w:id="1722708319">
                  <w:marLeft w:val="0"/>
                  <w:marRight w:val="0"/>
                  <w:marTop w:val="0"/>
                  <w:marBottom w:val="0"/>
                  <w:divBdr>
                    <w:top w:val="none" w:sz="0" w:space="0" w:color="auto"/>
                    <w:left w:val="none" w:sz="0" w:space="0" w:color="auto"/>
                    <w:bottom w:val="none" w:sz="0" w:space="0" w:color="auto"/>
                    <w:right w:val="none" w:sz="0" w:space="0" w:color="auto"/>
                  </w:divBdr>
                  <w:divsChild>
                    <w:div w:id="360934737">
                      <w:marLeft w:val="0"/>
                      <w:marRight w:val="0"/>
                      <w:marTop w:val="0"/>
                      <w:marBottom w:val="0"/>
                      <w:divBdr>
                        <w:top w:val="none" w:sz="0" w:space="0" w:color="auto"/>
                        <w:left w:val="none" w:sz="0" w:space="0" w:color="auto"/>
                        <w:bottom w:val="none" w:sz="0" w:space="0" w:color="auto"/>
                        <w:right w:val="none" w:sz="0" w:space="0" w:color="auto"/>
                      </w:divBdr>
                    </w:div>
                  </w:divsChild>
                </w:div>
                <w:div w:id="574512666">
                  <w:marLeft w:val="0"/>
                  <w:marRight w:val="0"/>
                  <w:marTop w:val="0"/>
                  <w:marBottom w:val="0"/>
                  <w:divBdr>
                    <w:top w:val="none" w:sz="0" w:space="0" w:color="auto"/>
                    <w:left w:val="none" w:sz="0" w:space="0" w:color="auto"/>
                    <w:bottom w:val="none" w:sz="0" w:space="0" w:color="auto"/>
                    <w:right w:val="none" w:sz="0" w:space="0" w:color="auto"/>
                  </w:divBdr>
                  <w:divsChild>
                    <w:div w:id="2105373591">
                      <w:marLeft w:val="0"/>
                      <w:marRight w:val="0"/>
                      <w:marTop w:val="0"/>
                      <w:marBottom w:val="0"/>
                      <w:divBdr>
                        <w:top w:val="none" w:sz="0" w:space="0" w:color="auto"/>
                        <w:left w:val="none" w:sz="0" w:space="0" w:color="auto"/>
                        <w:bottom w:val="none" w:sz="0" w:space="0" w:color="auto"/>
                        <w:right w:val="none" w:sz="0" w:space="0" w:color="auto"/>
                      </w:divBdr>
                    </w:div>
                  </w:divsChild>
                </w:div>
                <w:div w:id="1074159755">
                  <w:marLeft w:val="0"/>
                  <w:marRight w:val="0"/>
                  <w:marTop w:val="0"/>
                  <w:marBottom w:val="0"/>
                  <w:divBdr>
                    <w:top w:val="none" w:sz="0" w:space="0" w:color="auto"/>
                    <w:left w:val="none" w:sz="0" w:space="0" w:color="auto"/>
                    <w:bottom w:val="none" w:sz="0" w:space="0" w:color="auto"/>
                    <w:right w:val="none" w:sz="0" w:space="0" w:color="auto"/>
                  </w:divBdr>
                  <w:divsChild>
                    <w:div w:id="520582637">
                      <w:marLeft w:val="0"/>
                      <w:marRight w:val="0"/>
                      <w:marTop w:val="0"/>
                      <w:marBottom w:val="0"/>
                      <w:divBdr>
                        <w:top w:val="none" w:sz="0" w:space="0" w:color="auto"/>
                        <w:left w:val="none" w:sz="0" w:space="0" w:color="auto"/>
                        <w:bottom w:val="none" w:sz="0" w:space="0" w:color="auto"/>
                        <w:right w:val="none" w:sz="0" w:space="0" w:color="auto"/>
                      </w:divBdr>
                    </w:div>
                  </w:divsChild>
                </w:div>
                <w:div w:id="396709203">
                  <w:marLeft w:val="0"/>
                  <w:marRight w:val="0"/>
                  <w:marTop w:val="0"/>
                  <w:marBottom w:val="0"/>
                  <w:divBdr>
                    <w:top w:val="none" w:sz="0" w:space="0" w:color="auto"/>
                    <w:left w:val="none" w:sz="0" w:space="0" w:color="auto"/>
                    <w:bottom w:val="none" w:sz="0" w:space="0" w:color="auto"/>
                    <w:right w:val="none" w:sz="0" w:space="0" w:color="auto"/>
                  </w:divBdr>
                  <w:divsChild>
                    <w:div w:id="1628782754">
                      <w:marLeft w:val="0"/>
                      <w:marRight w:val="0"/>
                      <w:marTop w:val="0"/>
                      <w:marBottom w:val="0"/>
                      <w:divBdr>
                        <w:top w:val="none" w:sz="0" w:space="0" w:color="auto"/>
                        <w:left w:val="none" w:sz="0" w:space="0" w:color="auto"/>
                        <w:bottom w:val="none" w:sz="0" w:space="0" w:color="auto"/>
                        <w:right w:val="none" w:sz="0" w:space="0" w:color="auto"/>
                      </w:divBdr>
                    </w:div>
                  </w:divsChild>
                </w:div>
                <w:div w:id="1229919293">
                  <w:marLeft w:val="0"/>
                  <w:marRight w:val="0"/>
                  <w:marTop w:val="0"/>
                  <w:marBottom w:val="0"/>
                  <w:divBdr>
                    <w:top w:val="none" w:sz="0" w:space="0" w:color="auto"/>
                    <w:left w:val="none" w:sz="0" w:space="0" w:color="auto"/>
                    <w:bottom w:val="none" w:sz="0" w:space="0" w:color="auto"/>
                    <w:right w:val="none" w:sz="0" w:space="0" w:color="auto"/>
                  </w:divBdr>
                  <w:divsChild>
                    <w:div w:id="1981037420">
                      <w:marLeft w:val="0"/>
                      <w:marRight w:val="0"/>
                      <w:marTop w:val="0"/>
                      <w:marBottom w:val="0"/>
                      <w:divBdr>
                        <w:top w:val="none" w:sz="0" w:space="0" w:color="auto"/>
                        <w:left w:val="none" w:sz="0" w:space="0" w:color="auto"/>
                        <w:bottom w:val="none" w:sz="0" w:space="0" w:color="auto"/>
                        <w:right w:val="none" w:sz="0" w:space="0" w:color="auto"/>
                      </w:divBdr>
                    </w:div>
                  </w:divsChild>
                </w:div>
                <w:div w:id="1050345710">
                  <w:marLeft w:val="0"/>
                  <w:marRight w:val="0"/>
                  <w:marTop w:val="0"/>
                  <w:marBottom w:val="0"/>
                  <w:divBdr>
                    <w:top w:val="none" w:sz="0" w:space="0" w:color="auto"/>
                    <w:left w:val="none" w:sz="0" w:space="0" w:color="auto"/>
                    <w:bottom w:val="none" w:sz="0" w:space="0" w:color="auto"/>
                    <w:right w:val="none" w:sz="0" w:space="0" w:color="auto"/>
                  </w:divBdr>
                  <w:divsChild>
                    <w:div w:id="1881673440">
                      <w:marLeft w:val="0"/>
                      <w:marRight w:val="0"/>
                      <w:marTop w:val="0"/>
                      <w:marBottom w:val="0"/>
                      <w:divBdr>
                        <w:top w:val="none" w:sz="0" w:space="0" w:color="auto"/>
                        <w:left w:val="none" w:sz="0" w:space="0" w:color="auto"/>
                        <w:bottom w:val="none" w:sz="0" w:space="0" w:color="auto"/>
                        <w:right w:val="none" w:sz="0" w:space="0" w:color="auto"/>
                      </w:divBdr>
                    </w:div>
                  </w:divsChild>
                </w:div>
                <w:div w:id="830876815">
                  <w:marLeft w:val="0"/>
                  <w:marRight w:val="0"/>
                  <w:marTop w:val="0"/>
                  <w:marBottom w:val="0"/>
                  <w:divBdr>
                    <w:top w:val="none" w:sz="0" w:space="0" w:color="auto"/>
                    <w:left w:val="none" w:sz="0" w:space="0" w:color="auto"/>
                    <w:bottom w:val="none" w:sz="0" w:space="0" w:color="auto"/>
                    <w:right w:val="none" w:sz="0" w:space="0" w:color="auto"/>
                  </w:divBdr>
                  <w:divsChild>
                    <w:div w:id="809637917">
                      <w:marLeft w:val="0"/>
                      <w:marRight w:val="0"/>
                      <w:marTop w:val="0"/>
                      <w:marBottom w:val="0"/>
                      <w:divBdr>
                        <w:top w:val="none" w:sz="0" w:space="0" w:color="auto"/>
                        <w:left w:val="none" w:sz="0" w:space="0" w:color="auto"/>
                        <w:bottom w:val="none" w:sz="0" w:space="0" w:color="auto"/>
                        <w:right w:val="none" w:sz="0" w:space="0" w:color="auto"/>
                      </w:divBdr>
                    </w:div>
                  </w:divsChild>
                </w:div>
                <w:div w:id="547960734">
                  <w:marLeft w:val="0"/>
                  <w:marRight w:val="0"/>
                  <w:marTop w:val="0"/>
                  <w:marBottom w:val="0"/>
                  <w:divBdr>
                    <w:top w:val="none" w:sz="0" w:space="0" w:color="auto"/>
                    <w:left w:val="none" w:sz="0" w:space="0" w:color="auto"/>
                    <w:bottom w:val="none" w:sz="0" w:space="0" w:color="auto"/>
                    <w:right w:val="none" w:sz="0" w:space="0" w:color="auto"/>
                  </w:divBdr>
                  <w:divsChild>
                    <w:div w:id="251593982">
                      <w:marLeft w:val="0"/>
                      <w:marRight w:val="0"/>
                      <w:marTop w:val="0"/>
                      <w:marBottom w:val="0"/>
                      <w:divBdr>
                        <w:top w:val="none" w:sz="0" w:space="0" w:color="auto"/>
                        <w:left w:val="none" w:sz="0" w:space="0" w:color="auto"/>
                        <w:bottom w:val="none" w:sz="0" w:space="0" w:color="auto"/>
                        <w:right w:val="none" w:sz="0" w:space="0" w:color="auto"/>
                      </w:divBdr>
                    </w:div>
                  </w:divsChild>
                </w:div>
                <w:div w:id="1645619613">
                  <w:marLeft w:val="0"/>
                  <w:marRight w:val="0"/>
                  <w:marTop w:val="0"/>
                  <w:marBottom w:val="0"/>
                  <w:divBdr>
                    <w:top w:val="none" w:sz="0" w:space="0" w:color="auto"/>
                    <w:left w:val="none" w:sz="0" w:space="0" w:color="auto"/>
                    <w:bottom w:val="none" w:sz="0" w:space="0" w:color="auto"/>
                    <w:right w:val="none" w:sz="0" w:space="0" w:color="auto"/>
                  </w:divBdr>
                  <w:divsChild>
                    <w:div w:id="1313412170">
                      <w:marLeft w:val="0"/>
                      <w:marRight w:val="0"/>
                      <w:marTop w:val="0"/>
                      <w:marBottom w:val="0"/>
                      <w:divBdr>
                        <w:top w:val="none" w:sz="0" w:space="0" w:color="auto"/>
                        <w:left w:val="none" w:sz="0" w:space="0" w:color="auto"/>
                        <w:bottom w:val="none" w:sz="0" w:space="0" w:color="auto"/>
                        <w:right w:val="none" w:sz="0" w:space="0" w:color="auto"/>
                      </w:divBdr>
                    </w:div>
                  </w:divsChild>
                </w:div>
                <w:div w:id="1947494554">
                  <w:marLeft w:val="0"/>
                  <w:marRight w:val="0"/>
                  <w:marTop w:val="0"/>
                  <w:marBottom w:val="0"/>
                  <w:divBdr>
                    <w:top w:val="none" w:sz="0" w:space="0" w:color="auto"/>
                    <w:left w:val="none" w:sz="0" w:space="0" w:color="auto"/>
                    <w:bottom w:val="none" w:sz="0" w:space="0" w:color="auto"/>
                    <w:right w:val="none" w:sz="0" w:space="0" w:color="auto"/>
                  </w:divBdr>
                  <w:divsChild>
                    <w:div w:id="1989438361">
                      <w:marLeft w:val="0"/>
                      <w:marRight w:val="0"/>
                      <w:marTop w:val="0"/>
                      <w:marBottom w:val="0"/>
                      <w:divBdr>
                        <w:top w:val="none" w:sz="0" w:space="0" w:color="auto"/>
                        <w:left w:val="none" w:sz="0" w:space="0" w:color="auto"/>
                        <w:bottom w:val="none" w:sz="0" w:space="0" w:color="auto"/>
                        <w:right w:val="none" w:sz="0" w:space="0" w:color="auto"/>
                      </w:divBdr>
                    </w:div>
                  </w:divsChild>
                </w:div>
                <w:div w:id="1704600369">
                  <w:marLeft w:val="0"/>
                  <w:marRight w:val="0"/>
                  <w:marTop w:val="0"/>
                  <w:marBottom w:val="0"/>
                  <w:divBdr>
                    <w:top w:val="none" w:sz="0" w:space="0" w:color="auto"/>
                    <w:left w:val="none" w:sz="0" w:space="0" w:color="auto"/>
                    <w:bottom w:val="none" w:sz="0" w:space="0" w:color="auto"/>
                    <w:right w:val="none" w:sz="0" w:space="0" w:color="auto"/>
                  </w:divBdr>
                  <w:divsChild>
                    <w:div w:id="2118403827">
                      <w:marLeft w:val="0"/>
                      <w:marRight w:val="0"/>
                      <w:marTop w:val="0"/>
                      <w:marBottom w:val="0"/>
                      <w:divBdr>
                        <w:top w:val="none" w:sz="0" w:space="0" w:color="auto"/>
                        <w:left w:val="none" w:sz="0" w:space="0" w:color="auto"/>
                        <w:bottom w:val="none" w:sz="0" w:space="0" w:color="auto"/>
                        <w:right w:val="none" w:sz="0" w:space="0" w:color="auto"/>
                      </w:divBdr>
                    </w:div>
                  </w:divsChild>
                </w:div>
                <w:div w:id="1734811612">
                  <w:marLeft w:val="0"/>
                  <w:marRight w:val="0"/>
                  <w:marTop w:val="0"/>
                  <w:marBottom w:val="0"/>
                  <w:divBdr>
                    <w:top w:val="none" w:sz="0" w:space="0" w:color="auto"/>
                    <w:left w:val="none" w:sz="0" w:space="0" w:color="auto"/>
                    <w:bottom w:val="none" w:sz="0" w:space="0" w:color="auto"/>
                    <w:right w:val="none" w:sz="0" w:space="0" w:color="auto"/>
                  </w:divBdr>
                  <w:divsChild>
                    <w:div w:id="533008021">
                      <w:marLeft w:val="0"/>
                      <w:marRight w:val="0"/>
                      <w:marTop w:val="0"/>
                      <w:marBottom w:val="0"/>
                      <w:divBdr>
                        <w:top w:val="none" w:sz="0" w:space="0" w:color="auto"/>
                        <w:left w:val="none" w:sz="0" w:space="0" w:color="auto"/>
                        <w:bottom w:val="none" w:sz="0" w:space="0" w:color="auto"/>
                        <w:right w:val="none" w:sz="0" w:space="0" w:color="auto"/>
                      </w:divBdr>
                    </w:div>
                  </w:divsChild>
                </w:div>
                <w:div w:id="877427490">
                  <w:marLeft w:val="0"/>
                  <w:marRight w:val="0"/>
                  <w:marTop w:val="0"/>
                  <w:marBottom w:val="0"/>
                  <w:divBdr>
                    <w:top w:val="none" w:sz="0" w:space="0" w:color="auto"/>
                    <w:left w:val="none" w:sz="0" w:space="0" w:color="auto"/>
                    <w:bottom w:val="none" w:sz="0" w:space="0" w:color="auto"/>
                    <w:right w:val="none" w:sz="0" w:space="0" w:color="auto"/>
                  </w:divBdr>
                  <w:divsChild>
                    <w:div w:id="1099987114">
                      <w:marLeft w:val="0"/>
                      <w:marRight w:val="0"/>
                      <w:marTop w:val="0"/>
                      <w:marBottom w:val="0"/>
                      <w:divBdr>
                        <w:top w:val="none" w:sz="0" w:space="0" w:color="auto"/>
                        <w:left w:val="none" w:sz="0" w:space="0" w:color="auto"/>
                        <w:bottom w:val="none" w:sz="0" w:space="0" w:color="auto"/>
                        <w:right w:val="none" w:sz="0" w:space="0" w:color="auto"/>
                      </w:divBdr>
                    </w:div>
                  </w:divsChild>
                </w:div>
                <w:div w:id="137767754">
                  <w:marLeft w:val="0"/>
                  <w:marRight w:val="0"/>
                  <w:marTop w:val="0"/>
                  <w:marBottom w:val="0"/>
                  <w:divBdr>
                    <w:top w:val="none" w:sz="0" w:space="0" w:color="auto"/>
                    <w:left w:val="none" w:sz="0" w:space="0" w:color="auto"/>
                    <w:bottom w:val="none" w:sz="0" w:space="0" w:color="auto"/>
                    <w:right w:val="none" w:sz="0" w:space="0" w:color="auto"/>
                  </w:divBdr>
                  <w:divsChild>
                    <w:div w:id="4791094">
                      <w:marLeft w:val="0"/>
                      <w:marRight w:val="0"/>
                      <w:marTop w:val="0"/>
                      <w:marBottom w:val="0"/>
                      <w:divBdr>
                        <w:top w:val="none" w:sz="0" w:space="0" w:color="auto"/>
                        <w:left w:val="none" w:sz="0" w:space="0" w:color="auto"/>
                        <w:bottom w:val="none" w:sz="0" w:space="0" w:color="auto"/>
                        <w:right w:val="none" w:sz="0" w:space="0" w:color="auto"/>
                      </w:divBdr>
                    </w:div>
                  </w:divsChild>
                </w:div>
                <w:div w:id="1848211913">
                  <w:marLeft w:val="0"/>
                  <w:marRight w:val="0"/>
                  <w:marTop w:val="0"/>
                  <w:marBottom w:val="0"/>
                  <w:divBdr>
                    <w:top w:val="none" w:sz="0" w:space="0" w:color="auto"/>
                    <w:left w:val="none" w:sz="0" w:space="0" w:color="auto"/>
                    <w:bottom w:val="none" w:sz="0" w:space="0" w:color="auto"/>
                    <w:right w:val="none" w:sz="0" w:space="0" w:color="auto"/>
                  </w:divBdr>
                  <w:divsChild>
                    <w:div w:id="1038702904">
                      <w:marLeft w:val="0"/>
                      <w:marRight w:val="0"/>
                      <w:marTop w:val="0"/>
                      <w:marBottom w:val="0"/>
                      <w:divBdr>
                        <w:top w:val="none" w:sz="0" w:space="0" w:color="auto"/>
                        <w:left w:val="none" w:sz="0" w:space="0" w:color="auto"/>
                        <w:bottom w:val="none" w:sz="0" w:space="0" w:color="auto"/>
                        <w:right w:val="none" w:sz="0" w:space="0" w:color="auto"/>
                      </w:divBdr>
                    </w:div>
                  </w:divsChild>
                </w:div>
                <w:div w:id="384450937">
                  <w:marLeft w:val="0"/>
                  <w:marRight w:val="0"/>
                  <w:marTop w:val="0"/>
                  <w:marBottom w:val="0"/>
                  <w:divBdr>
                    <w:top w:val="none" w:sz="0" w:space="0" w:color="auto"/>
                    <w:left w:val="none" w:sz="0" w:space="0" w:color="auto"/>
                    <w:bottom w:val="none" w:sz="0" w:space="0" w:color="auto"/>
                    <w:right w:val="none" w:sz="0" w:space="0" w:color="auto"/>
                  </w:divBdr>
                  <w:divsChild>
                    <w:div w:id="802961379">
                      <w:marLeft w:val="0"/>
                      <w:marRight w:val="0"/>
                      <w:marTop w:val="0"/>
                      <w:marBottom w:val="0"/>
                      <w:divBdr>
                        <w:top w:val="none" w:sz="0" w:space="0" w:color="auto"/>
                        <w:left w:val="none" w:sz="0" w:space="0" w:color="auto"/>
                        <w:bottom w:val="none" w:sz="0" w:space="0" w:color="auto"/>
                        <w:right w:val="none" w:sz="0" w:space="0" w:color="auto"/>
                      </w:divBdr>
                    </w:div>
                  </w:divsChild>
                </w:div>
                <w:div w:id="353114314">
                  <w:marLeft w:val="0"/>
                  <w:marRight w:val="0"/>
                  <w:marTop w:val="0"/>
                  <w:marBottom w:val="0"/>
                  <w:divBdr>
                    <w:top w:val="none" w:sz="0" w:space="0" w:color="auto"/>
                    <w:left w:val="none" w:sz="0" w:space="0" w:color="auto"/>
                    <w:bottom w:val="none" w:sz="0" w:space="0" w:color="auto"/>
                    <w:right w:val="none" w:sz="0" w:space="0" w:color="auto"/>
                  </w:divBdr>
                  <w:divsChild>
                    <w:div w:id="1382709991">
                      <w:marLeft w:val="0"/>
                      <w:marRight w:val="0"/>
                      <w:marTop w:val="0"/>
                      <w:marBottom w:val="0"/>
                      <w:divBdr>
                        <w:top w:val="none" w:sz="0" w:space="0" w:color="auto"/>
                        <w:left w:val="none" w:sz="0" w:space="0" w:color="auto"/>
                        <w:bottom w:val="none" w:sz="0" w:space="0" w:color="auto"/>
                        <w:right w:val="none" w:sz="0" w:space="0" w:color="auto"/>
                      </w:divBdr>
                    </w:div>
                  </w:divsChild>
                </w:div>
                <w:div w:id="1513254821">
                  <w:marLeft w:val="0"/>
                  <w:marRight w:val="0"/>
                  <w:marTop w:val="0"/>
                  <w:marBottom w:val="0"/>
                  <w:divBdr>
                    <w:top w:val="none" w:sz="0" w:space="0" w:color="auto"/>
                    <w:left w:val="none" w:sz="0" w:space="0" w:color="auto"/>
                    <w:bottom w:val="none" w:sz="0" w:space="0" w:color="auto"/>
                    <w:right w:val="none" w:sz="0" w:space="0" w:color="auto"/>
                  </w:divBdr>
                  <w:divsChild>
                    <w:div w:id="527719166">
                      <w:marLeft w:val="0"/>
                      <w:marRight w:val="0"/>
                      <w:marTop w:val="0"/>
                      <w:marBottom w:val="0"/>
                      <w:divBdr>
                        <w:top w:val="none" w:sz="0" w:space="0" w:color="auto"/>
                        <w:left w:val="none" w:sz="0" w:space="0" w:color="auto"/>
                        <w:bottom w:val="none" w:sz="0" w:space="0" w:color="auto"/>
                        <w:right w:val="none" w:sz="0" w:space="0" w:color="auto"/>
                      </w:divBdr>
                    </w:div>
                  </w:divsChild>
                </w:div>
                <w:div w:id="1282569638">
                  <w:marLeft w:val="0"/>
                  <w:marRight w:val="0"/>
                  <w:marTop w:val="0"/>
                  <w:marBottom w:val="0"/>
                  <w:divBdr>
                    <w:top w:val="none" w:sz="0" w:space="0" w:color="auto"/>
                    <w:left w:val="none" w:sz="0" w:space="0" w:color="auto"/>
                    <w:bottom w:val="none" w:sz="0" w:space="0" w:color="auto"/>
                    <w:right w:val="none" w:sz="0" w:space="0" w:color="auto"/>
                  </w:divBdr>
                  <w:divsChild>
                    <w:div w:id="909735723">
                      <w:marLeft w:val="0"/>
                      <w:marRight w:val="0"/>
                      <w:marTop w:val="0"/>
                      <w:marBottom w:val="0"/>
                      <w:divBdr>
                        <w:top w:val="none" w:sz="0" w:space="0" w:color="auto"/>
                        <w:left w:val="none" w:sz="0" w:space="0" w:color="auto"/>
                        <w:bottom w:val="none" w:sz="0" w:space="0" w:color="auto"/>
                        <w:right w:val="none" w:sz="0" w:space="0" w:color="auto"/>
                      </w:divBdr>
                    </w:div>
                  </w:divsChild>
                </w:div>
                <w:div w:id="81032737">
                  <w:marLeft w:val="0"/>
                  <w:marRight w:val="0"/>
                  <w:marTop w:val="0"/>
                  <w:marBottom w:val="0"/>
                  <w:divBdr>
                    <w:top w:val="none" w:sz="0" w:space="0" w:color="auto"/>
                    <w:left w:val="none" w:sz="0" w:space="0" w:color="auto"/>
                    <w:bottom w:val="none" w:sz="0" w:space="0" w:color="auto"/>
                    <w:right w:val="none" w:sz="0" w:space="0" w:color="auto"/>
                  </w:divBdr>
                  <w:divsChild>
                    <w:div w:id="401752512">
                      <w:marLeft w:val="0"/>
                      <w:marRight w:val="0"/>
                      <w:marTop w:val="0"/>
                      <w:marBottom w:val="0"/>
                      <w:divBdr>
                        <w:top w:val="none" w:sz="0" w:space="0" w:color="auto"/>
                        <w:left w:val="none" w:sz="0" w:space="0" w:color="auto"/>
                        <w:bottom w:val="none" w:sz="0" w:space="0" w:color="auto"/>
                        <w:right w:val="none" w:sz="0" w:space="0" w:color="auto"/>
                      </w:divBdr>
                    </w:div>
                  </w:divsChild>
                </w:div>
                <w:div w:id="1972126503">
                  <w:marLeft w:val="0"/>
                  <w:marRight w:val="0"/>
                  <w:marTop w:val="0"/>
                  <w:marBottom w:val="0"/>
                  <w:divBdr>
                    <w:top w:val="none" w:sz="0" w:space="0" w:color="auto"/>
                    <w:left w:val="none" w:sz="0" w:space="0" w:color="auto"/>
                    <w:bottom w:val="none" w:sz="0" w:space="0" w:color="auto"/>
                    <w:right w:val="none" w:sz="0" w:space="0" w:color="auto"/>
                  </w:divBdr>
                  <w:divsChild>
                    <w:div w:id="1885747267">
                      <w:marLeft w:val="0"/>
                      <w:marRight w:val="0"/>
                      <w:marTop w:val="0"/>
                      <w:marBottom w:val="0"/>
                      <w:divBdr>
                        <w:top w:val="none" w:sz="0" w:space="0" w:color="auto"/>
                        <w:left w:val="none" w:sz="0" w:space="0" w:color="auto"/>
                        <w:bottom w:val="none" w:sz="0" w:space="0" w:color="auto"/>
                        <w:right w:val="none" w:sz="0" w:space="0" w:color="auto"/>
                      </w:divBdr>
                    </w:div>
                  </w:divsChild>
                </w:div>
                <w:div w:id="1593390101">
                  <w:marLeft w:val="0"/>
                  <w:marRight w:val="0"/>
                  <w:marTop w:val="0"/>
                  <w:marBottom w:val="0"/>
                  <w:divBdr>
                    <w:top w:val="none" w:sz="0" w:space="0" w:color="auto"/>
                    <w:left w:val="none" w:sz="0" w:space="0" w:color="auto"/>
                    <w:bottom w:val="none" w:sz="0" w:space="0" w:color="auto"/>
                    <w:right w:val="none" w:sz="0" w:space="0" w:color="auto"/>
                  </w:divBdr>
                  <w:divsChild>
                    <w:div w:id="1194271015">
                      <w:marLeft w:val="0"/>
                      <w:marRight w:val="0"/>
                      <w:marTop w:val="0"/>
                      <w:marBottom w:val="0"/>
                      <w:divBdr>
                        <w:top w:val="none" w:sz="0" w:space="0" w:color="auto"/>
                        <w:left w:val="none" w:sz="0" w:space="0" w:color="auto"/>
                        <w:bottom w:val="none" w:sz="0" w:space="0" w:color="auto"/>
                        <w:right w:val="none" w:sz="0" w:space="0" w:color="auto"/>
                      </w:divBdr>
                    </w:div>
                  </w:divsChild>
                </w:div>
                <w:div w:id="1525631721">
                  <w:marLeft w:val="0"/>
                  <w:marRight w:val="0"/>
                  <w:marTop w:val="0"/>
                  <w:marBottom w:val="0"/>
                  <w:divBdr>
                    <w:top w:val="none" w:sz="0" w:space="0" w:color="auto"/>
                    <w:left w:val="none" w:sz="0" w:space="0" w:color="auto"/>
                    <w:bottom w:val="none" w:sz="0" w:space="0" w:color="auto"/>
                    <w:right w:val="none" w:sz="0" w:space="0" w:color="auto"/>
                  </w:divBdr>
                  <w:divsChild>
                    <w:div w:id="664673418">
                      <w:marLeft w:val="0"/>
                      <w:marRight w:val="0"/>
                      <w:marTop w:val="0"/>
                      <w:marBottom w:val="0"/>
                      <w:divBdr>
                        <w:top w:val="none" w:sz="0" w:space="0" w:color="auto"/>
                        <w:left w:val="none" w:sz="0" w:space="0" w:color="auto"/>
                        <w:bottom w:val="none" w:sz="0" w:space="0" w:color="auto"/>
                        <w:right w:val="none" w:sz="0" w:space="0" w:color="auto"/>
                      </w:divBdr>
                    </w:div>
                  </w:divsChild>
                </w:div>
                <w:div w:id="451439475">
                  <w:marLeft w:val="0"/>
                  <w:marRight w:val="0"/>
                  <w:marTop w:val="0"/>
                  <w:marBottom w:val="0"/>
                  <w:divBdr>
                    <w:top w:val="none" w:sz="0" w:space="0" w:color="auto"/>
                    <w:left w:val="none" w:sz="0" w:space="0" w:color="auto"/>
                    <w:bottom w:val="none" w:sz="0" w:space="0" w:color="auto"/>
                    <w:right w:val="none" w:sz="0" w:space="0" w:color="auto"/>
                  </w:divBdr>
                  <w:divsChild>
                    <w:div w:id="2077628535">
                      <w:marLeft w:val="0"/>
                      <w:marRight w:val="0"/>
                      <w:marTop w:val="0"/>
                      <w:marBottom w:val="0"/>
                      <w:divBdr>
                        <w:top w:val="none" w:sz="0" w:space="0" w:color="auto"/>
                        <w:left w:val="none" w:sz="0" w:space="0" w:color="auto"/>
                        <w:bottom w:val="none" w:sz="0" w:space="0" w:color="auto"/>
                        <w:right w:val="none" w:sz="0" w:space="0" w:color="auto"/>
                      </w:divBdr>
                    </w:div>
                  </w:divsChild>
                </w:div>
                <w:div w:id="647708126">
                  <w:marLeft w:val="0"/>
                  <w:marRight w:val="0"/>
                  <w:marTop w:val="0"/>
                  <w:marBottom w:val="0"/>
                  <w:divBdr>
                    <w:top w:val="none" w:sz="0" w:space="0" w:color="auto"/>
                    <w:left w:val="none" w:sz="0" w:space="0" w:color="auto"/>
                    <w:bottom w:val="none" w:sz="0" w:space="0" w:color="auto"/>
                    <w:right w:val="none" w:sz="0" w:space="0" w:color="auto"/>
                  </w:divBdr>
                  <w:divsChild>
                    <w:div w:id="1382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74428">
      <w:bodyDiv w:val="1"/>
      <w:marLeft w:val="0"/>
      <w:marRight w:val="0"/>
      <w:marTop w:val="0"/>
      <w:marBottom w:val="0"/>
      <w:divBdr>
        <w:top w:val="none" w:sz="0" w:space="0" w:color="auto"/>
        <w:left w:val="none" w:sz="0" w:space="0" w:color="auto"/>
        <w:bottom w:val="none" w:sz="0" w:space="0" w:color="auto"/>
        <w:right w:val="none" w:sz="0" w:space="0" w:color="auto"/>
      </w:divBdr>
    </w:div>
    <w:div w:id="449399174">
      <w:bodyDiv w:val="1"/>
      <w:marLeft w:val="0"/>
      <w:marRight w:val="0"/>
      <w:marTop w:val="0"/>
      <w:marBottom w:val="0"/>
      <w:divBdr>
        <w:top w:val="none" w:sz="0" w:space="0" w:color="auto"/>
        <w:left w:val="none" w:sz="0" w:space="0" w:color="auto"/>
        <w:bottom w:val="none" w:sz="0" w:space="0" w:color="auto"/>
        <w:right w:val="none" w:sz="0" w:space="0" w:color="auto"/>
      </w:divBdr>
    </w:div>
    <w:div w:id="451949076">
      <w:bodyDiv w:val="1"/>
      <w:marLeft w:val="0"/>
      <w:marRight w:val="0"/>
      <w:marTop w:val="0"/>
      <w:marBottom w:val="0"/>
      <w:divBdr>
        <w:top w:val="none" w:sz="0" w:space="0" w:color="auto"/>
        <w:left w:val="none" w:sz="0" w:space="0" w:color="auto"/>
        <w:bottom w:val="none" w:sz="0" w:space="0" w:color="auto"/>
        <w:right w:val="none" w:sz="0" w:space="0" w:color="auto"/>
      </w:divBdr>
    </w:div>
    <w:div w:id="453645318">
      <w:bodyDiv w:val="1"/>
      <w:marLeft w:val="0"/>
      <w:marRight w:val="0"/>
      <w:marTop w:val="0"/>
      <w:marBottom w:val="0"/>
      <w:divBdr>
        <w:top w:val="none" w:sz="0" w:space="0" w:color="auto"/>
        <w:left w:val="none" w:sz="0" w:space="0" w:color="auto"/>
        <w:bottom w:val="none" w:sz="0" w:space="0" w:color="auto"/>
        <w:right w:val="none" w:sz="0" w:space="0" w:color="auto"/>
      </w:divBdr>
      <w:divsChild>
        <w:div w:id="310210502">
          <w:marLeft w:val="547"/>
          <w:marRight w:val="0"/>
          <w:marTop w:val="0"/>
          <w:marBottom w:val="0"/>
          <w:divBdr>
            <w:top w:val="none" w:sz="0" w:space="0" w:color="auto"/>
            <w:left w:val="none" w:sz="0" w:space="0" w:color="auto"/>
            <w:bottom w:val="none" w:sz="0" w:space="0" w:color="auto"/>
            <w:right w:val="none" w:sz="0" w:space="0" w:color="auto"/>
          </w:divBdr>
        </w:div>
        <w:div w:id="777873154">
          <w:marLeft w:val="547"/>
          <w:marRight w:val="0"/>
          <w:marTop w:val="0"/>
          <w:marBottom w:val="0"/>
          <w:divBdr>
            <w:top w:val="none" w:sz="0" w:space="0" w:color="auto"/>
            <w:left w:val="none" w:sz="0" w:space="0" w:color="auto"/>
            <w:bottom w:val="none" w:sz="0" w:space="0" w:color="auto"/>
            <w:right w:val="none" w:sz="0" w:space="0" w:color="auto"/>
          </w:divBdr>
        </w:div>
        <w:div w:id="1288194531">
          <w:marLeft w:val="547"/>
          <w:marRight w:val="0"/>
          <w:marTop w:val="0"/>
          <w:marBottom w:val="0"/>
          <w:divBdr>
            <w:top w:val="none" w:sz="0" w:space="0" w:color="auto"/>
            <w:left w:val="none" w:sz="0" w:space="0" w:color="auto"/>
            <w:bottom w:val="none" w:sz="0" w:space="0" w:color="auto"/>
            <w:right w:val="none" w:sz="0" w:space="0" w:color="auto"/>
          </w:divBdr>
        </w:div>
        <w:div w:id="689374289">
          <w:marLeft w:val="547"/>
          <w:marRight w:val="0"/>
          <w:marTop w:val="0"/>
          <w:marBottom w:val="0"/>
          <w:divBdr>
            <w:top w:val="none" w:sz="0" w:space="0" w:color="auto"/>
            <w:left w:val="none" w:sz="0" w:space="0" w:color="auto"/>
            <w:bottom w:val="none" w:sz="0" w:space="0" w:color="auto"/>
            <w:right w:val="none" w:sz="0" w:space="0" w:color="auto"/>
          </w:divBdr>
        </w:div>
      </w:divsChild>
    </w:div>
    <w:div w:id="457068347">
      <w:bodyDiv w:val="1"/>
      <w:marLeft w:val="0"/>
      <w:marRight w:val="0"/>
      <w:marTop w:val="0"/>
      <w:marBottom w:val="0"/>
      <w:divBdr>
        <w:top w:val="none" w:sz="0" w:space="0" w:color="auto"/>
        <w:left w:val="none" w:sz="0" w:space="0" w:color="auto"/>
        <w:bottom w:val="none" w:sz="0" w:space="0" w:color="auto"/>
        <w:right w:val="none" w:sz="0" w:space="0" w:color="auto"/>
      </w:divBdr>
    </w:div>
    <w:div w:id="483930197">
      <w:bodyDiv w:val="1"/>
      <w:marLeft w:val="0"/>
      <w:marRight w:val="0"/>
      <w:marTop w:val="0"/>
      <w:marBottom w:val="0"/>
      <w:divBdr>
        <w:top w:val="none" w:sz="0" w:space="0" w:color="auto"/>
        <w:left w:val="none" w:sz="0" w:space="0" w:color="auto"/>
        <w:bottom w:val="none" w:sz="0" w:space="0" w:color="auto"/>
        <w:right w:val="none" w:sz="0" w:space="0" w:color="auto"/>
      </w:divBdr>
    </w:div>
    <w:div w:id="486359432">
      <w:bodyDiv w:val="1"/>
      <w:marLeft w:val="0"/>
      <w:marRight w:val="0"/>
      <w:marTop w:val="0"/>
      <w:marBottom w:val="0"/>
      <w:divBdr>
        <w:top w:val="none" w:sz="0" w:space="0" w:color="auto"/>
        <w:left w:val="none" w:sz="0" w:space="0" w:color="auto"/>
        <w:bottom w:val="none" w:sz="0" w:space="0" w:color="auto"/>
        <w:right w:val="none" w:sz="0" w:space="0" w:color="auto"/>
      </w:divBdr>
      <w:divsChild>
        <w:div w:id="1366130274">
          <w:marLeft w:val="480"/>
          <w:marRight w:val="0"/>
          <w:marTop w:val="0"/>
          <w:marBottom w:val="0"/>
          <w:divBdr>
            <w:top w:val="none" w:sz="0" w:space="0" w:color="auto"/>
            <w:left w:val="none" w:sz="0" w:space="0" w:color="auto"/>
            <w:bottom w:val="none" w:sz="0" w:space="0" w:color="auto"/>
            <w:right w:val="none" w:sz="0" w:space="0" w:color="auto"/>
          </w:divBdr>
          <w:divsChild>
            <w:div w:id="12211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5749">
      <w:bodyDiv w:val="1"/>
      <w:marLeft w:val="0"/>
      <w:marRight w:val="0"/>
      <w:marTop w:val="0"/>
      <w:marBottom w:val="0"/>
      <w:divBdr>
        <w:top w:val="none" w:sz="0" w:space="0" w:color="auto"/>
        <w:left w:val="none" w:sz="0" w:space="0" w:color="auto"/>
        <w:bottom w:val="none" w:sz="0" w:space="0" w:color="auto"/>
        <w:right w:val="none" w:sz="0" w:space="0" w:color="auto"/>
      </w:divBdr>
    </w:div>
    <w:div w:id="494683076">
      <w:bodyDiv w:val="1"/>
      <w:marLeft w:val="0"/>
      <w:marRight w:val="0"/>
      <w:marTop w:val="0"/>
      <w:marBottom w:val="0"/>
      <w:divBdr>
        <w:top w:val="none" w:sz="0" w:space="0" w:color="auto"/>
        <w:left w:val="none" w:sz="0" w:space="0" w:color="auto"/>
        <w:bottom w:val="none" w:sz="0" w:space="0" w:color="auto"/>
        <w:right w:val="none" w:sz="0" w:space="0" w:color="auto"/>
      </w:divBdr>
    </w:div>
    <w:div w:id="496312014">
      <w:bodyDiv w:val="1"/>
      <w:marLeft w:val="0"/>
      <w:marRight w:val="0"/>
      <w:marTop w:val="0"/>
      <w:marBottom w:val="0"/>
      <w:divBdr>
        <w:top w:val="none" w:sz="0" w:space="0" w:color="auto"/>
        <w:left w:val="none" w:sz="0" w:space="0" w:color="auto"/>
        <w:bottom w:val="none" w:sz="0" w:space="0" w:color="auto"/>
        <w:right w:val="none" w:sz="0" w:space="0" w:color="auto"/>
      </w:divBdr>
    </w:div>
    <w:div w:id="502090675">
      <w:bodyDiv w:val="1"/>
      <w:marLeft w:val="0"/>
      <w:marRight w:val="0"/>
      <w:marTop w:val="0"/>
      <w:marBottom w:val="0"/>
      <w:divBdr>
        <w:top w:val="none" w:sz="0" w:space="0" w:color="auto"/>
        <w:left w:val="none" w:sz="0" w:space="0" w:color="auto"/>
        <w:bottom w:val="none" w:sz="0" w:space="0" w:color="auto"/>
        <w:right w:val="none" w:sz="0" w:space="0" w:color="auto"/>
      </w:divBdr>
    </w:div>
    <w:div w:id="510143512">
      <w:bodyDiv w:val="1"/>
      <w:marLeft w:val="0"/>
      <w:marRight w:val="0"/>
      <w:marTop w:val="0"/>
      <w:marBottom w:val="0"/>
      <w:divBdr>
        <w:top w:val="none" w:sz="0" w:space="0" w:color="auto"/>
        <w:left w:val="none" w:sz="0" w:space="0" w:color="auto"/>
        <w:bottom w:val="none" w:sz="0" w:space="0" w:color="auto"/>
        <w:right w:val="none" w:sz="0" w:space="0" w:color="auto"/>
      </w:divBdr>
    </w:div>
    <w:div w:id="513426262">
      <w:bodyDiv w:val="1"/>
      <w:marLeft w:val="0"/>
      <w:marRight w:val="0"/>
      <w:marTop w:val="0"/>
      <w:marBottom w:val="0"/>
      <w:divBdr>
        <w:top w:val="none" w:sz="0" w:space="0" w:color="auto"/>
        <w:left w:val="none" w:sz="0" w:space="0" w:color="auto"/>
        <w:bottom w:val="none" w:sz="0" w:space="0" w:color="auto"/>
        <w:right w:val="none" w:sz="0" w:space="0" w:color="auto"/>
      </w:divBdr>
    </w:div>
    <w:div w:id="514922287">
      <w:bodyDiv w:val="1"/>
      <w:marLeft w:val="0"/>
      <w:marRight w:val="0"/>
      <w:marTop w:val="0"/>
      <w:marBottom w:val="0"/>
      <w:divBdr>
        <w:top w:val="none" w:sz="0" w:space="0" w:color="auto"/>
        <w:left w:val="none" w:sz="0" w:space="0" w:color="auto"/>
        <w:bottom w:val="none" w:sz="0" w:space="0" w:color="auto"/>
        <w:right w:val="none" w:sz="0" w:space="0" w:color="auto"/>
      </w:divBdr>
    </w:div>
    <w:div w:id="515971748">
      <w:bodyDiv w:val="1"/>
      <w:marLeft w:val="0"/>
      <w:marRight w:val="0"/>
      <w:marTop w:val="0"/>
      <w:marBottom w:val="0"/>
      <w:divBdr>
        <w:top w:val="none" w:sz="0" w:space="0" w:color="auto"/>
        <w:left w:val="none" w:sz="0" w:space="0" w:color="auto"/>
        <w:bottom w:val="none" w:sz="0" w:space="0" w:color="auto"/>
        <w:right w:val="none" w:sz="0" w:space="0" w:color="auto"/>
      </w:divBdr>
    </w:div>
    <w:div w:id="518853259">
      <w:bodyDiv w:val="1"/>
      <w:marLeft w:val="0"/>
      <w:marRight w:val="0"/>
      <w:marTop w:val="0"/>
      <w:marBottom w:val="0"/>
      <w:divBdr>
        <w:top w:val="none" w:sz="0" w:space="0" w:color="auto"/>
        <w:left w:val="none" w:sz="0" w:space="0" w:color="auto"/>
        <w:bottom w:val="none" w:sz="0" w:space="0" w:color="auto"/>
        <w:right w:val="none" w:sz="0" w:space="0" w:color="auto"/>
      </w:divBdr>
      <w:divsChild>
        <w:div w:id="1791045505">
          <w:marLeft w:val="547"/>
          <w:marRight w:val="0"/>
          <w:marTop w:val="96"/>
          <w:marBottom w:val="0"/>
          <w:divBdr>
            <w:top w:val="none" w:sz="0" w:space="0" w:color="auto"/>
            <w:left w:val="none" w:sz="0" w:space="0" w:color="auto"/>
            <w:bottom w:val="none" w:sz="0" w:space="0" w:color="auto"/>
            <w:right w:val="none" w:sz="0" w:space="0" w:color="auto"/>
          </w:divBdr>
        </w:div>
        <w:div w:id="449978463">
          <w:marLeft w:val="547"/>
          <w:marRight w:val="0"/>
          <w:marTop w:val="96"/>
          <w:marBottom w:val="0"/>
          <w:divBdr>
            <w:top w:val="none" w:sz="0" w:space="0" w:color="auto"/>
            <w:left w:val="none" w:sz="0" w:space="0" w:color="auto"/>
            <w:bottom w:val="none" w:sz="0" w:space="0" w:color="auto"/>
            <w:right w:val="none" w:sz="0" w:space="0" w:color="auto"/>
          </w:divBdr>
        </w:div>
        <w:div w:id="1040125362">
          <w:marLeft w:val="547"/>
          <w:marRight w:val="0"/>
          <w:marTop w:val="96"/>
          <w:marBottom w:val="0"/>
          <w:divBdr>
            <w:top w:val="none" w:sz="0" w:space="0" w:color="auto"/>
            <w:left w:val="none" w:sz="0" w:space="0" w:color="auto"/>
            <w:bottom w:val="none" w:sz="0" w:space="0" w:color="auto"/>
            <w:right w:val="none" w:sz="0" w:space="0" w:color="auto"/>
          </w:divBdr>
        </w:div>
        <w:div w:id="1176652829">
          <w:marLeft w:val="547"/>
          <w:marRight w:val="0"/>
          <w:marTop w:val="96"/>
          <w:marBottom w:val="0"/>
          <w:divBdr>
            <w:top w:val="none" w:sz="0" w:space="0" w:color="auto"/>
            <w:left w:val="none" w:sz="0" w:space="0" w:color="auto"/>
            <w:bottom w:val="none" w:sz="0" w:space="0" w:color="auto"/>
            <w:right w:val="none" w:sz="0" w:space="0" w:color="auto"/>
          </w:divBdr>
        </w:div>
        <w:div w:id="413017868">
          <w:marLeft w:val="547"/>
          <w:marRight w:val="0"/>
          <w:marTop w:val="96"/>
          <w:marBottom w:val="0"/>
          <w:divBdr>
            <w:top w:val="none" w:sz="0" w:space="0" w:color="auto"/>
            <w:left w:val="none" w:sz="0" w:space="0" w:color="auto"/>
            <w:bottom w:val="none" w:sz="0" w:space="0" w:color="auto"/>
            <w:right w:val="none" w:sz="0" w:space="0" w:color="auto"/>
          </w:divBdr>
        </w:div>
        <w:div w:id="57284049">
          <w:marLeft w:val="547"/>
          <w:marRight w:val="0"/>
          <w:marTop w:val="96"/>
          <w:marBottom w:val="0"/>
          <w:divBdr>
            <w:top w:val="none" w:sz="0" w:space="0" w:color="auto"/>
            <w:left w:val="none" w:sz="0" w:space="0" w:color="auto"/>
            <w:bottom w:val="none" w:sz="0" w:space="0" w:color="auto"/>
            <w:right w:val="none" w:sz="0" w:space="0" w:color="auto"/>
          </w:divBdr>
        </w:div>
        <w:div w:id="1488207523">
          <w:marLeft w:val="547"/>
          <w:marRight w:val="0"/>
          <w:marTop w:val="96"/>
          <w:marBottom w:val="0"/>
          <w:divBdr>
            <w:top w:val="none" w:sz="0" w:space="0" w:color="auto"/>
            <w:left w:val="none" w:sz="0" w:space="0" w:color="auto"/>
            <w:bottom w:val="none" w:sz="0" w:space="0" w:color="auto"/>
            <w:right w:val="none" w:sz="0" w:space="0" w:color="auto"/>
          </w:divBdr>
        </w:div>
        <w:div w:id="1377005206">
          <w:marLeft w:val="547"/>
          <w:marRight w:val="0"/>
          <w:marTop w:val="96"/>
          <w:marBottom w:val="0"/>
          <w:divBdr>
            <w:top w:val="none" w:sz="0" w:space="0" w:color="auto"/>
            <w:left w:val="none" w:sz="0" w:space="0" w:color="auto"/>
            <w:bottom w:val="none" w:sz="0" w:space="0" w:color="auto"/>
            <w:right w:val="none" w:sz="0" w:space="0" w:color="auto"/>
          </w:divBdr>
        </w:div>
      </w:divsChild>
    </w:div>
    <w:div w:id="518935087">
      <w:bodyDiv w:val="1"/>
      <w:marLeft w:val="0"/>
      <w:marRight w:val="0"/>
      <w:marTop w:val="0"/>
      <w:marBottom w:val="0"/>
      <w:divBdr>
        <w:top w:val="none" w:sz="0" w:space="0" w:color="auto"/>
        <w:left w:val="none" w:sz="0" w:space="0" w:color="auto"/>
        <w:bottom w:val="none" w:sz="0" w:space="0" w:color="auto"/>
        <w:right w:val="none" w:sz="0" w:space="0" w:color="auto"/>
      </w:divBdr>
    </w:div>
    <w:div w:id="5190061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688">
          <w:marLeft w:val="480"/>
          <w:marRight w:val="0"/>
          <w:marTop w:val="0"/>
          <w:marBottom w:val="0"/>
          <w:divBdr>
            <w:top w:val="none" w:sz="0" w:space="0" w:color="auto"/>
            <w:left w:val="none" w:sz="0" w:space="0" w:color="auto"/>
            <w:bottom w:val="none" w:sz="0" w:space="0" w:color="auto"/>
            <w:right w:val="none" w:sz="0" w:space="0" w:color="auto"/>
          </w:divBdr>
          <w:divsChild>
            <w:div w:id="4811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8903">
      <w:bodyDiv w:val="1"/>
      <w:marLeft w:val="0"/>
      <w:marRight w:val="0"/>
      <w:marTop w:val="0"/>
      <w:marBottom w:val="0"/>
      <w:divBdr>
        <w:top w:val="none" w:sz="0" w:space="0" w:color="auto"/>
        <w:left w:val="none" w:sz="0" w:space="0" w:color="auto"/>
        <w:bottom w:val="none" w:sz="0" w:space="0" w:color="auto"/>
        <w:right w:val="none" w:sz="0" w:space="0" w:color="auto"/>
      </w:divBdr>
    </w:div>
    <w:div w:id="526522421">
      <w:bodyDiv w:val="1"/>
      <w:marLeft w:val="0"/>
      <w:marRight w:val="0"/>
      <w:marTop w:val="0"/>
      <w:marBottom w:val="0"/>
      <w:divBdr>
        <w:top w:val="none" w:sz="0" w:space="0" w:color="auto"/>
        <w:left w:val="none" w:sz="0" w:space="0" w:color="auto"/>
        <w:bottom w:val="none" w:sz="0" w:space="0" w:color="auto"/>
        <w:right w:val="none" w:sz="0" w:space="0" w:color="auto"/>
      </w:divBdr>
    </w:div>
    <w:div w:id="536893370">
      <w:bodyDiv w:val="1"/>
      <w:marLeft w:val="0"/>
      <w:marRight w:val="0"/>
      <w:marTop w:val="0"/>
      <w:marBottom w:val="0"/>
      <w:divBdr>
        <w:top w:val="none" w:sz="0" w:space="0" w:color="auto"/>
        <w:left w:val="none" w:sz="0" w:space="0" w:color="auto"/>
        <w:bottom w:val="none" w:sz="0" w:space="0" w:color="auto"/>
        <w:right w:val="none" w:sz="0" w:space="0" w:color="auto"/>
      </w:divBdr>
    </w:div>
    <w:div w:id="537473797">
      <w:bodyDiv w:val="1"/>
      <w:marLeft w:val="0"/>
      <w:marRight w:val="0"/>
      <w:marTop w:val="0"/>
      <w:marBottom w:val="0"/>
      <w:divBdr>
        <w:top w:val="none" w:sz="0" w:space="0" w:color="auto"/>
        <w:left w:val="none" w:sz="0" w:space="0" w:color="auto"/>
        <w:bottom w:val="none" w:sz="0" w:space="0" w:color="auto"/>
        <w:right w:val="none" w:sz="0" w:space="0" w:color="auto"/>
      </w:divBdr>
    </w:div>
    <w:div w:id="541748041">
      <w:bodyDiv w:val="1"/>
      <w:marLeft w:val="0"/>
      <w:marRight w:val="0"/>
      <w:marTop w:val="0"/>
      <w:marBottom w:val="0"/>
      <w:divBdr>
        <w:top w:val="none" w:sz="0" w:space="0" w:color="auto"/>
        <w:left w:val="none" w:sz="0" w:space="0" w:color="auto"/>
        <w:bottom w:val="none" w:sz="0" w:space="0" w:color="auto"/>
        <w:right w:val="none" w:sz="0" w:space="0" w:color="auto"/>
      </w:divBdr>
    </w:div>
    <w:div w:id="547454554">
      <w:bodyDiv w:val="1"/>
      <w:marLeft w:val="0"/>
      <w:marRight w:val="0"/>
      <w:marTop w:val="0"/>
      <w:marBottom w:val="0"/>
      <w:divBdr>
        <w:top w:val="none" w:sz="0" w:space="0" w:color="auto"/>
        <w:left w:val="none" w:sz="0" w:space="0" w:color="auto"/>
        <w:bottom w:val="none" w:sz="0" w:space="0" w:color="auto"/>
        <w:right w:val="none" w:sz="0" w:space="0" w:color="auto"/>
      </w:divBdr>
    </w:div>
    <w:div w:id="552470048">
      <w:bodyDiv w:val="1"/>
      <w:marLeft w:val="0"/>
      <w:marRight w:val="0"/>
      <w:marTop w:val="0"/>
      <w:marBottom w:val="0"/>
      <w:divBdr>
        <w:top w:val="none" w:sz="0" w:space="0" w:color="auto"/>
        <w:left w:val="none" w:sz="0" w:space="0" w:color="auto"/>
        <w:bottom w:val="none" w:sz="0" w:space="0" w:color="auto"/>
        <w:right w:val="none" w:sz="0" w:space="0" w:color="auto"/>
      </w:divBdr>
      <w:divsChild>
        <w:div w:id="168914902">
          <w:marLeft w:val="0"/>
          <w:marRight w:val="0"/>
          <w:marTop w:val="0"/>
          <w:marBottom w:val="0"/>
          <w:divBdr>
            <w:top w:val="none" w:sz="0" w:space="0" w:color="auto"/>
            <w:left w:val="none" w:sz="0" w:space="0" w:color="auto"/>
            <w:bottom w:val="none" w:sz="0" w:space="0" w:color="auto"/>
            <w:right w:val="none" w:sz="0" w:space="0" w:color="auto"/>
          </w:divBdr>
        </w:div>
        <w:div w:id="470250594">
          <w:marLeft w:val="0"/>
          <w:marRight w:val="0"/>
          <w:marTop w:val="0"/>
          <w:marBottom w:val="0"/>
          <w:divBdr>
            <w:top w:val="none" w:sz="0" w:space="0" w:color="auto"/>
            <w:left w:val="none" w:sz="0" w:space="0" w:color="auto"/>
            <w:bottom w:val="none" w:sz="0" w:space="0" w:color="auto"/>
            <w:right w:val="none" w:sz="0" w:space="0" w:color="auto"/>
          </w:divBdr>
        </w:div>
        <w:div w:id="42606221">
          <w:marLeft w:val="0"/>
          <w:marRight w:val="0"/>
          <w:marTop w:val="0"/>
          <w:marBottom w:val="0"/>
          <w:divBdr>
            <w:top w:val="none" w:sz="0" w:space="0" w:color="auto"/>
            <w:left w:val="none" w:sz="0" w:space="0" w:color="auto"/>
            <w:bottom w:val="none" w:sz="0" w:space="0" w:color="auto"/>
            <w:right w:val="none" w:sz="0" w:space="0" w:color="auto"/>
          </w:divBdr>
        </w:div>
      </w:divsChild>
    </w:div>
    <w:div w:id="557518917">
      <w:bodyDiv w:val="1"/>
      <w:marLeft w:val="0"/>
      <w:marRight w:val="0"/>
      <w:marTop w:val="0"/>
      <w:marBottom w:val="0"/>
      <w:divBdr>
        <w:top w:val="none" w:sz="0" w:space="0" w:color="auto"/>
        <w:left w:val="none" w:sz="0" w:space="0" w:color="auto"/>
        <w:bottom w:val="none" w:sz="0" w:space="0" w:color="auto"/>
        <w:right w:val="none" w:sz="0" w:space="0" w:color="auto"/>
      </w:divBdr>
      <w:divsChild>
        <w:div w:id="1215578228">
          <w:marLeft w:val="547"/>
          <w:marRight w:val="0"/>
          <w:marTop w:val="96"/>
          <w:marBottom w:val="160"/>
          <w:divBdr>
            <w:top w:val="none" w:sz="0" w:space="0" w:color="auto"/>
            <w:left w:val="none" w:sz="0" w:space="0" w:color="auto"/>
            <w:bottom w:val="none" w:sz="0" w:space="0" w:color="auto"/>
            <w:right w:val="none" w:sz="0" w:space="0" w:color="auto"/>
          </w:divBdr>
        </w:div>
        <w:div w:id="861743320">
          <w:marLeft w:val="1166"/>
          <w:marRight w:val="0"/>
          <w:marTop w:val="0"/>
          <w:marBottom w:val="120"/>
          <w:divBdr>
            <w:top w:val="none" w:sz="0" w:space="0" w:color="auto"/>
            <w:left w:val="none" w:sz="0" w:space="0" w:color="auto"/>
            <w:bottom w:val="none" w:sz="0" w:space="0" w:color="auto"/>
            <w:right w:val="none" w:sz="0" w:space="0" w:color="auto"/>
          </w:divBdr>
        </w:div>
        <w:div w:id="1502504956">
          <w:marLeft w:val="1166"/>
          <w:marRight w:val="0"/>
          <w:marTop w:val="0"/>
          <w:marBottom w:val="120"/>
          <w:divBdr>
            <w:top w:val="none" w:sz="0" w:space="0" w:color="auto"/>
            <w:left w:val="none" w:sz="0" w:space="0" w:color="auto"/>
            <w:bottom w:val="none" w:sz="0" w:space="0" w:color="auto"/>
            <w:right w:val="none" w:sz="0" w:space="0" w:color="auto"/>
          </w:divBdr>
        </w:div>
        <w:div w:id="1255288132">
          <w:marLeft w:val="547"/>
          <w:marRight w:val="0"/>
          <w:marTop w:val="96"/>
          <w:marBottom w:val="160"/>
          <w:divBdr>
            <w:top w:val="none" w:sz="0" w:space="0" w:color="auto"/>
            <w:left w:val="none" w:sz="0" w:space="0" w:color="auto"/>
            <w:bottom w:val="none" w:sz="0" w:space="0" w:color="auto"/>
            <w:right w:val="none" w:sz="0" w:space="0" w:color="auto"/>
          </w:divBdr>
        </w:div>
        <w:div w:id="1591810808">
          <w:marLeft w:val="547"/>
          <w:marRight w:val="0"/>
          <w:marTop w:val="96"/>
          <w:marBottom w:val="160"/>
          <w:divBdr>
            <w:top w:val="none" w:sz="0" w:space="0" w:color="auto"/>
            <w:left w:val="none" w:sz="0" w:space="0" w:color="auto"/>
            <w:bottom w:val="none" w:sz="0" w:space="0" w:color="auto"/>
            <w:right w:val="none" w:sz="0" w:space="0" w:color="auto"/>
          </w:divBdr>
        </w:div>
      </w:divsChild>
    </w:div>
    <w:div w:id="557590496">
      <w:bodyDiv w:val="1"/>
      <w:marLeft w:val="0"/>
      <w:marRight w:val="0"/>
      <w:marTop w:val="0"/>
      <w:marBottom w:val="0"/>
      <w:divBdr>
        <w:top w:val="none" w:sz="0" w:space="0" w:color="auto"/>
        <w:left w:val="none" w:sz="0" w:space="0" w:color="auto"/>
        <w:bottom w:val="none" w:sz="0" w:space="0" w:color="auto"/>
        <w:right w:val="none" w:sz="0" w:space="0" w:color="auto"/>
      </w:divBdr>
    </w:div>
    <w:div w:id="567307682">
      <w:bodyDiv w:val="1"/>
      <w:marLeft w:val="0"/>
      <w:marRight w:val="0"/>
      <w:marTop w:val="0"/>
      <w:marBottom w:val="0"/>
      <w:divBdr>
        <w:top w:val="none" w:sz="0" w:space="0" w:color="auto"/>
        <w:left w:val="none" w:sz="0" w:space="0" w:color="auto"/>
        <w:bottom w:val="none" w:sz="0" w:space="0" w:color="auto"/>
        <w:right w:val="none" w:sz="0" w:space="0" w:color="auto"/>
      </w:divBdr>
    </w:div>
    <w:div w:id="567351869">
      <w:bodyDiv w:val="1"/>
      <w:marLeft w:val="0"/>
      <w:marRight w:val="0"/>
      <w:marTop w:val="0"/>
      <w:marBottom w:val="0"/>
      <w:divBdr>
        <w:top w:val="none" w:sz="0" w:space="0" w:color="auto"/>
        <w:left w:val="none" w:sz="0" w:space="0" w:color="auto"/>
        <w:bottom w:val="none" w:sz="0" w:space="0" w:color="auto"/>
        <w:right w:val="none" w:sz="0" w:space="0" w:color="auto"/>
      </w:divBdr>
      <w:divsChild>
        <w:div w:id="402068072">
          <w:marLeft w:val="0"/>
          <w:marRight w:val="0"/>
          <w:marTop w:val="0"/>
          <w:marBottom w:val="160"/>
          <w:divBdr>
            <w:top w:val="none" w:sz="0" w:space="0" w:color="auto"/>
            <w:left w:val="none" w:sz="0" w:space="0" w:color="auto"/>
            <w:bottom w:val="none" w:sz="0" w:space="0" w:color="auto"/>
            <w:right w:val="none" w:sz="0" w:space="0" w:color="auto"/>
          </w:divBdr>
        </w:div>
        <w:div w:id="35131211">
          <w:marLeft w:val="0"/>
          <w:marRight w:val="0"/>
          <w:marTop w:val="0"/>
          <w:marBottom w:val="160"/>
          <w:divBdr>
            <w:top w:val="none" w:sz="0" w:space="0" w:color="auto"/>
            <w:left w:val="none" w:sz="0" w:space="0" w:color="auto"/>
            <w:bottom w:val="none" w:sz="0" w:space="0" w:color="auto"/>
            <w:right w:val="none" w:sz="0" w:space="0" w:color="auto"/>
          </w:divBdr>
        </w:div>
        <w:div w:id="1929194957">
          <w:marLeft w:val="0"/>
          <w:marRight w:val="0"/>
          <w:marTop w:val="0"/>
          <w:marBottom w:val="160"/>
          <w:divBdr>
            <w:top w:val="none" w:sz="0" w:space="0" w:color="auto"/>
            <w:left w:val="none" w:sz="0" w:space="0" w:color="auto"/>
            <w:bottom w:val="none" w:sz="0" w:space="0" w:color="auto"/>
            <w:right w:val="none" w:sz="0" w:space="0" w:color="auto"/>
          </w:divBdr>
        </w:div>
      </w:divsChild>
    </w:div>
    <w:div w:id="573472525">
      <w:bodyDiv w:val="1"/>
      <w:marLeft w:val="0"/>
      <w:marRight w:val="0"/>
      <w:marTop w:val="0"/>
      <w:marBottom w:val="0"/>
      <w:divBdr>
        <w:top w:val="none" w:sz="0" w:space="0" w:color="auto"/>
        <w:left w:val="none" w:sz="0" w:space="0" w:color="auto"/>
        <w:bottom w:val="none" w:sz="0" w:space="0" w:color="auto"/>
        <w:right w:val="none" w:sz="0" w:space="0" w:color="auto"/>
      </w:divBdr>
    </w:div>
    <w:div w:id="573588905">
      <w:bodyDiv w:val="1"/>
      <w:marLeft w:val="0"/>
      <w:marRight w:val="0"/>
      <w:marTop w:val="0"/>
      <w:marBottom w:val="0"/>
      <w:divBdr>
        <w:top w:val="none" w:sz="0" w:space="0" w:color="auto"/>
        <w:left w:val="none" w:sz="0" w:space="0" w:color="auto"/>
        <w:bottom w:val="none" w:sz="0" w:space="0" w:color="auto"/>
        <w:right w:val="none" w:sz="0" w:space="0" w:color="auto"/>
      </w:divBdr>
    </w:div>
    <w:div w:id="574779376">
      <w:bodyDiv w:val="1"/>
      <w:marLeft w:val="0"/>
      <w:marRight w:val="0"/>
      <w:marTop w:val="0"/>
      <w:marBottom w:val="0"/>
      <w:divBdr>
        <w:top w:val="none" w:sz="0" w:space="0" w:color="auto"/>
        <w:left w:val="none" w:sz="0" w:space="0" w:color="auto"/>
        <w:bottom w:val="none" w:sz="0" w:space="0" w:color="auto"/>
        <w:right w:val="none" w:sz="0" w:space="0" w:color="auto"/>
      </w:divBdr>
    </w:div>
    <w:div w:id="592671437">
      <w:bodyDiv w:val="1"/>
      <w:marLeft w:val="0"/>
      <w:marRight w:val="0"/>
      <w:marTop w:val="0"/>
      <w:marBottom w:val="0"/>
      <w:divBdr>
        <w:top w:val="none" w:sz="0" w:space="0" w:color="auto"/>
        <w:left w:val="none" w:sz="0" w:space="0" w:color="auto"/>
        <w:bottom w:val="none" w:sz="0" w:space="0" w:color="auto"/>
        <w:right w:val="none" w:sz="0" w:space="0" w:color="auto"/>
      </w:divBdr>
    </w:div>
    <w:div w:id="604461894">
      <w:bodyDiv w:val="1"/>
      <w:marLeft w:val="0"/>
      <w:marRight w:val="0"/>
      <w:marTop w:val="0"/>
      <w:marBottom w:val="0"/>
      <w:divBdr>
        <w:top w:val="none" w:sz="0" w:space="0" w:color="auto"/>
        <w:left w:val="none" w:sz="0" w:space="0" w:color="auto"/>
        <w:bottom w:val="none" w:sz="0" w:space="0" w:color="auto"/>
        <w:right w:val="none" w:sz="0" w:space="0" w:color="auto"/>
      </w:divBdr>
    </w:div>
    <w:div w:id="604846642">
      <w:bodyDiv w:val="1"/>
      <w:marLeft w:val="0"/>
      <w:marRight w:val="0"/>
      <w:marTop w:val="0"/>
      <w:marBottom w:val="0"/>
      <w:divBdr>
        <w:top w:val="none" w:sz="0" w:space="0" w:color="auto"/>
        <w:left w:val="none" w:sz="0" w:space="0" w:color="auto"/>
        <w:bottom w:val="none" w:sz="0" w:space="0" w:color="auto"/>
        <w:right w:val="none" w:sz="0" w:space="0" w:color="auto"/>
      </w:divBdr>
    </w:div>
    <w:div w:id="609245157">
      <w:bodyDiv w:val="1"/>
      <w:marLeft w:val="0"/>
      <w:marRight w:val="0"/>
      <w:marTop w:val="0"/>
      <w:marBottom w:val="0"/>
      <w:divBdr>
        <w:top w:val="none" w:sz="0" w:space="0" w:color="auto"/>
        <w:left w:val="none" w:sz="0" w:space="0" w:color="auto"/>
        <w:bottom w:val="none" w:sz="0" w:space="0" w:color="auto"/>
        <w:right w:val="none" w:sz="0" w:space="0" w:color="auto"/>
      </w:divBdr>
    </w:div>
    <w:div w:id="617683471">
      <w:bodyDiv w:val="1"/>
      <w:marLeft w:val="0"/>
      <w:marRight w:val="0"/>
      <w:marTop w:val="0"/>
      <w:marBottom w:val="0"/>
      <w:divBdr>
        <w:top w:val="none" w:sz="0" w:space="0" w:color="auto"/>
        <w:left w:val="none" w:sz="0" w:space="0" w:color="auto"/>
        <w:bottom w:val="none" w:sz="0" w:space="0" w:color="auto"/>
        <w:right w:val="none" w:sz="0" w:space="0" w:color="auto"/>
      </w:divBdr>
    </w:div>
    <w:div w:id="628052984">
      <w:bodyDiv w:val="1"/>
      <w:marLeft w:val="0"/>
      <w:marRight w:val="0"/>
      <w:marTop w:val="0"/>
      <w:marBottom w:val="0"/>
      <w:divBdr>
        <w:top w:val="none" w:sz="0" w:space="0" w:color="auto"/>
        <w:left w:val="none" w:sz="0" w:space="0" w:color="auto"/>
        <w:bottom w:val="none" w:sz="0" w:space="0" w:color="auto"/>
        <w:right w:val="none" w:sz="0" w:space="0" w:color="auto"/>
      </w:divBdr>
    </w:div>
    <w:div w:id="631325422">
      <w:bodyDiv w:val="1"/>
      <w:marLeft w:val="0"/>
      <w:marRight w:val="0"/>
      <w:marTop w:val="0"/>
      <w:marBottom w:val="0"/>
      <w:divBdr>
        <w:top w:val="none" w:sz="0" w:space="0" w:color="auto"/>
        <w:left w:val="none" w:sz="0" w:space="0" w:color="auto"/>
        <w:bottom w:val="none" w:sz="0" w:space="0" w:color="auto"/>
        <w:right w:val="none" w:sz="0" w:space="0" w:color="auto"/>
      </w:divBdr>
    </w:div>
    <w:div w:id="634869344">
      <w:bodyDiv w:val="1"/>
      <w:marLeft w:val="0"/>
      <w:marRight w:val="0"/>
      <w:marTop w:val="0"/>
      <w:marBottom w:val="0"/>
      <w:divBdr>
        <w:top w:val="none" w:sz="0" w:space="0" w:color="auto"/>
        <w:left w:val="none" w:sz="0" w:space="0" w:color="auto"/>
        <w:bottom w:val="none" w:sz="0" w:space="0" w:color="auto"/>
        <w:right w:val="none" w:sz="0" w:space="0" w:color="auto"/>
      </w:divBdr>
      <w:divsChild>
        <w:div w:id="91165031">
          <w:marLeft w:val="0"/>
          <w:marRight w:val="0"/>
          <w:marTop w:val="0"/>
          <w:marBottom w:val="0"/>
          <w:divBdr>
            <w:top w:val="none" w:sz="0" w:space="0" w:color="auto"/>
            <w:left w:val="none" w:sz="0" w:space="0" w:color="auto"/>
            <w:bottom w:val="none" w:sz="0" w:space="0" w:color="auto"/>
            <w:right w:val="none" w:sz="0" w:space="0" w:color="auto"/>
          </w:divBdr>
        </w:div>
        <w:div w:id="1833401667">
          <w:marLeft w:val="0"/>
          <w:marRight w:val="0"/>
          <w:marTop w:val="0"/>
          <w:marBottom w:val="0"/>
          <w:divBdr>
            <w:top w:val="none" w:sz="0" w:space="0" w:color="auto"/>
            <w:left w:val="none" w:sz="0" w:space="0" w:color="auto"/>
            <w:bottom w:val="none" w:sz="0" w:space="0" w:color="auto"/>
            <w:right w:val="none" w:sz="0" w:space="0" w:color="auto"/>
          </w:divBdr>
        </w:div>
        <w:div w:id="54204158">
          <w:marLeft w:val="0"/>
          <w:marRight w:val="0"/>
          <w:marTop w:val="0"/>
          <w:marBottom w:val="0"/>
          <w:divBdr>
            <w:top w:val="none" w:sz="0" w:space="0" w:color="auto"/>
            <w:left w:val="none" w:sz="0" w:space="0" w:color="auto"/>
            <w:bottom w:val="none" w:sz="0" w:space="0" w:color="auto"/>
            <w:right w:val="none" w:sz="0" w:space="0" w:color="auto"/>
          </w:divBdr>
        </w:div>
        <w:div w:id="789276401">
          <w:marLeft w:val="0"/>
          <w:marRight w:val="0"/>
          <w:marTop w:val="0"/>
          <w:marBottom w:val="0"/>
          <w:divBdr>
            <w:top w:val="none" w:sz="0" w:space="0" w:color="auto"/>
            <w:left w:val="none" w:sz="0" w:space="0" w:color="auto"/>
            <w:bottom w:val="none" w:sz="0" w:space="0" w:color="auto"/>
            <w:right w:val="none" w:sz="0" w:space="0" w:color="auto"/>
          </w:divBdr>
        </w:div>
        <w:div w:id="1821194917">
          <w:marLeft w:val="0"/>
          <w:marRight w:val="0"/>
          <w:marTop w:val="0"/>
          <w:marBottom w:val="0"/>
          <w:divBdr>
            <w:top w:val="none" w:sz="0" w:space="0" w:color="auto"/>
            <w:left w:val="none" w:sz="0" w:space="0" w:color="auto"/>
            <w:bottom w:val="none" w:sz="0" w:space="0" w:color="auto"/>
            <w:right w:val="none" w:sz="0" w:space="0" w:color="auto"/>
          </w:divBdr>
        </w:div>
        <w:div w:id="1940605626">
          <w:marLeft w:val="0"/>
          <w:marRight w:val="0"/>
          <w:marTop w:val="0"/>
          <w:marBottom w:val="0"/>
          <w:divBdr>
            <w:top w:val="none" w:sz="0" w:space="0" w:color="auto"/>
            <w:left w:val="none" w:sz="0" w:space="0" w:color="auto"/>
            <w:bottom w:val="none" w:sz="0" w:space="0" w:color="auto"/>
            <w:right w:val="none" w:sz="0" w:space="0" w:color="auto"/>
          </w:divBdr>
        </w:div>
        <w:div w:id="725644179">
          <w:marLeft w:val="0"/>
          <w:marRight w:val="0"/>
          <w:marTop w:val="0"/>
          <w:marBottom w:val="0"/>
          <w:divBdr>
            <w:top w:val="none" w:sz="0" w:space="0" w:color="auto"/>
            <w:left w:val="none" w:sz="0" w:space="0" w:color="auto"/>
            <w:bottom w:val="none" w:sz="0" w:space="0" w:color="auto"/>
            <w:right w:val="none" w:sz="0" w:space="0" w:color="auto"/>
          </w:divBdr>
        </w:div>
        <w:div w:id="629943872">
          <w:marLeft w:val="0"/>
          <w:marRight w:val="0"/>
          <w:marTop w:val="0"/>
          <w:marBottom w:val="0"/>
          <w:divBdr>
            <w:top w:val="none" w:sz="0" w:space="0" w:color="auto"/>
            <w:left w:val="none" w:sz="0" w:space="0" w:color="auto"/>
            <w:bottom w:val="none" w:sz="0" w:space="0" w:color="auto"/>
            <w:right w:val="none" w:sz="0" w:space="0" w:color="auto"/>
          </w:divBdr>
        </w:div>
        <w:div w:id="1558853552">
          <w:marLeft w:val="0"/>
          <w:marRight w:val="0"/>
          <w:marTop w:val="0"/>
          <w:marBottom w:val="0"/>
          <w:divBdr>
            <w:top w:val="none" w:sz="0" w:space="0" w:color="auto"/>
            <w:left w:val="none" w:sz="0" w:space="0" w:color="auto"/>
            <w:bottom w:val="none" w:sz="0" w:space="0" w:color="auto"/>
            <w:right w:val="none" w:sz="0" w:space="0" w:color="auto"/>
          </w:divBdr>
        </w:div>
        <w:div w:id="1685588561">
          <w:marLeft w:val="0"/>
          <w:marRight w:val="0"/>
          <w:marTop w:val="0"/>
          <w:marBottom w:val="0"/>
          <w:divBdr>
            <w:top w:val="none" w:sz="0" w:space="0" w:color="auto"/>
            <w:left w:val="none" w:sz="0" w:space="0" w:color="auto"/>
            <w:bottom w:val="none" w:sz="0" w:space="0" w:color="auto"/>
            <w:right w:val="none" w:sz="0" w:space="0" w:color="auto"/>
          </w:divBdr>
        </w:div>
        <w:div w:id="707727398">
          <w:marLeft w:val="0"/>
          <w:marRight w:val="0"/>
          <w:marTop w:val="0"/>
          <w:marBottom w:val="0"/>
          <w:divBdr>
            <w:top w:val="none" w:sz="0" w:space="0" w:color="auto"/>
            <w:left w:val="none" w:sz="0" w:space="0" w:color="auto"/>
            <w:bottom w:val="none" w:sz="0" w:space="0" w:color="auto"/>
            <w:right w:val="none" w:sz="0" w:space="0" w:color="auto"/>
          </w:divBdr>
        </w:div>
        <w:div w:id="2105102900">
          <w:marLeft w:val="0"/>
          <w:marRight w:val="0"/>
          <w:marTop w:val="0"/>
          <w:marBottom w:val="0"/>
          <w:divBdr>
            <w:top w:val="none" w:sz="0" w:space="0" w:color="auto"/>
            <w:left w:val="none" w:sz="0" w:space="0" w:color="auto"/>
            <w:bottom w:val="none" w:sz="0" w:space="0" w:color="auto"/>
            <w:right w:val="none" w:sz="0" w:space="0" w:color="auto"/>
          </w:divBdr>
        </w:div>
        <w:div w:id="1153840573">
          <w:marLeft w:val="0"/>
          <w:marRight w:val="0"/>
          <w:marTop w:val="0"/>
          <w:marBottom w:val="0"/>
          <w:divBdr>
            <w:top w:val="none" w:sz="0" w:space="0" w:color="auto"/>
            <w:left w:val="none" w:sz="0" w:space="0" w:color="auto"/>
            <w:bottom w:val="none" w:sz="0" w:space="0" w:color="auto"/>
            <w:right w:val="none" w:sz="0" w:space="0" w:color="auto"/>
          </w:divBdr>
        </w:div>
        <w:div w:id="2008897736">
          <w:marLeft w:val="0"/>
          <w:marRight w:val="0"/>
          <w:marTop w:val="0"/>
          <w:marBottom w:val="0"/>
          <w:divBdr>
            <w:top w:val="none" w:sz="0" w:space="0" w:color="auto"/>
            <w:left w:val="none" w:sz="0" w:space="0" w:color="auto"/>
            <w:bottom w:val="none" w:sz="0" w:space="0" w:color="auto"/>
            <w:right w:val="none" w:sz="0" w:space="0" w:color="auto"/>
          </w:divBdr>
        </w:div>
        <w:div w:id="37316077">
          <w:marLeft w:val="0"/>
          <w:marRight w:val="0"/>
          <w:marTop w:val="0"/>
          <w:marBottom w:val="0"/>
          <w:divBdr>
            <w:top w:val="none" w:sz="0" w:space="0" w:color="auto"/>
            <w:left w:val="none" w:sz="0" w:space="0" w:color="auto"/>
            <w:bottom w:val="none" w:sz="0" w:space="0" w:color="auto"/>
            <w:right w:val="none" w:sz="0" w:space="0" w:color="auto"/>
          </w:divBdr>
        </w:div>
        <w:div w:id="1045449236">
          <w:marLeft w:val="0"/>
          <w:marRight w:val="0"/>
          <w:marTop w:val="0"/>
          <w:marBottom w:val="0"/>
          <w:divBdr>
            <w:top w:val="none" w:sz="0" w:space="0" w:color="auto"/>
            <w:left w:val="none" w:sz="0" w:space="0" w:color="auto"/>
            <w:bottom w:val="none" w:sz="0" w:space="0" w:color="auto"/>
            <w:right w:val="none" w:sz="0" w:space="0" w:color="auto"/>
          </w:divBdr>
        </w:div>
        <w:div w:id="1981765082">
          <w:marLeft w:val="0"/>
          <w:marRight w:val="0"/>
          <w:marTop w:val="0"/>
          <w:marBottom w:val="0"/>
          <w:divBdr>
            <w:top w:val="none" w:sz="0" w:space="0" w:color="auto"/>
            <w:left w:val="none" w:sz="0" w:space="0" w:color="auto"/>
            <w:bottom w:val="none" w:sz="0" w:space="0" w:color="auto"/>
            <w:right w:val="none" w:sz="0" w:space="0" w:color="auto"/>
          </w:divBdr>
        </w:div>
      </w:divsChild>
    </w:div>
    <w:div w:id="641081553">
      <w:bodyDiv w:val="1"/>
      <w:marLeft w:val="0"/>
      <w:marRight w:val="0"/>
      <w:marTop w:val="0"/>
      <w:marBottom w:val="0"/>
      <w:divBdr>
        <w:top w:val="none" w:sz="0" w:space="0" w:color="auto"/>
        <w:left w:val="none" w:sz="0" w:space="0" w:color="auto"/>
        <w:bottom w:val="none" w:sz="0" w:space="0" w:color="auto"/>
        <w:right w:val="none" w:sz="0" w:space="0" w:color="auto"/>
      </w:divBdr>
      <w:divsChild>
        <w:div w:id="2017462594">
          <w:marLeft w:val="480"/>
          <w:marRight w:val="0"/>
          <w:marTop w:val="0"/>
          <w:marBottom w:val="0"/>
          <w:divBdr>
            <w:top w:val="none" w:sz="0" w:space="0" w:color="auto"/>
            <w:left w:val="none" w:sz="0" w:space="0" w:color="auto"/>
            <w:bottom w:val="none" w:sz="0" w:space="0" w:color="auto"/>
            <w:right w:val="none" w:sz="0" w:space="0" w:color="auto"/>
          </w:divBdr>
          <w:divsChild>
            <w:div w:id="8897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0856">
      <w:bodyDiv w:val="1"/>
      <w:marLeft w:val="0"/>
      <w:marRight w:val="0"/>
      <w:marTop w:val="0"/>
      <w:marBottom w:val="0"/>
      <w:divBdr>
        <w:top w:val="none" w:sz="0" w:space="0" w:color="auto"/>
        <w:left w:val="none" w:sz="0" w:space="0" w:color="auto"/>
        <w:bottom w:val="none" w:sz="0" w:space="0" w:color="auto"/>
        <w:right w:val="none" w:sz="0" w:space="0" w:color="auto"/>
      </w:divBdr>
    </w:div>
    <w:div w:id="644819450">
      <w:bodyDiv w:val="1"/>
      <w:marLeft w:val="0"/>
      <w:marRight w:val="0"/>
      <w:marTop w:val="0"/>
      <w:marBottom w:val="0"/>
      <w:divBdr>
        <w:top w:val="none" w:sz="0" w:space="0" w:color="auto"/>
        <w:left w:val="none" w:sz="0" w:space="0" w:color="auto"/>
        <w:bottom w:val="none" w:sz="0" w:space="0" w:color="auto"/>
        <w:right w:val="none" w:sz="0" w:space="0" w:color="auto"/>
      </w:divBdr>
    </w:div>
    <w:div w:id="647516425">
      <w:bodyDiv w:val="1"/>
      <w:marLeft w:val="0"/>
      <w:marRight w:val="0"/>
      <w:marTop w:val="0"/>
      <w:marBottom w:val="0"/>
      <w:divBdr>
        <w:top w:val="none" w:sz="0" w:space="0" w:color="auto"/>
        <w:left w:val="none" w:sz="0" w:space="0" w:color="auto"/>
        <w:bottom w:val="none" w:sz="0" w:space="0" w:color="auto"/>
        <w:right w:val="none" w:sz="0" w:space="0" w:color="auto"/>
      </w:divBdr>
    </w:div>
    <w:div w:id="650256580">
      <w:bodyDiv w:val="1"/>
      <w:marLeft w:val="0"/>
      <w:marRight w:val="0"/>
      <w:marTop w:val="0"/>
      <w:marBottom w:val="0"/>
      <w:divBdr>
        <w:top w:val="none" w:sz="0" w:space="0" w:color="auto"/>
        <w:left w:val="none" w:sz="0" w:space="0" w:color="auto"/>
        <w:bottom w:val="none" w:sz="0" w:space="0" w:color="auto"/>
        <w:right w:val="none" w:sz="0" w:space="0" w:color="auto"/>
      </w:divBdr>
      <w:divsChild>
        <w:div w:id="407463670">
          <w:marLeft w:val="274"/>
          <w:marRight w:val="0"/>
          <w:marTop w:val="0"/>
          <w:marBottom w:val="0"/>
          <w:divBdr>
            <w:top w:val="none" w:sz="0" w:space="0" w:color="auto"/>
            <w:left w:val="none" w:sz="0" w:space="0" w:color="auto"/>
            <w:bottom w:val="none" w:sz="0" w:space="0" w:color="auto"/>
            <w:right w:val="none" w:sz="0" w:space="0" w:color="auto"/>
          </w:divBdr>
        </w:div>
        <w:div w:id="2033416618">
          <w:marLeft w:val="274"/>
          <w:marRight w:val="0"/>
          <w:marTop w:val="0"/>
          <w:marBottom w:val="0"/>
          <w:divBdr>
            <w:top w:val="none" w:sz="0" w:space="0" w:color="auto"/>
            <w:left w:val="none" w:sz="0" w:space="0" w:color="auto"/>
            <w:bottom w:val="none" w:sz="0" w:space="0" w:color="auto"/>
            <w:right w:val="none" w:sz="0" w:space="0" w:color="auto"/>
          </w:divBdr>
        </w:div>
        <w:div w:id="656810141">
          <w:marLeft w:val="274"/>
          <w:marRight w:val="0"/>
          <w:marTop w:val="0"/>
          <w:marBottom w:val="0"/>
          <w:divBdr>
            <w:top w:val="none" w:sz="0" w:space="0" w:color="auto"/>
            <w:left w:val="none" w:sz="0" w:space="0" w:color="auto"/>
            <w:bottom w:val="none" w:sz="0" w:space="0" w:color="auto"/>
            <w:right w:val="none" w:sz="0" w:space="0" w:color="auto"/>
          </w:divBdr>
        </w:div>
        <w:div w:id="393311271">
          <w:marLeft w:val="274"/>
          <w:marRight w:val="0"/>
          <w:marTop w:val="0"/>
          <w:marBottom w:val="0"/>
          <w:divBdr>
            <w:top w:val="none" w:sz="0" w:space="0" w:color="auto"/>
            <w:left w:val="none" w:sz="0" w:space="0" w:color="auto"/>
            <w:bottom w:val="none" w:sz="0" w:space="0" w:color="auto"/>
            <w:right w:val="none" w:sz="0" w:space="0" w:color="auto"/>
          </w:divBdr>
        </w:div>
        <w:div w:id="179659889">
          <w:marLeft w:val="274"/>
          <w:marRight w:val="0"/>
          <w:marTop w:val="0"/>
          <w:marBottom w:val="0"/>
          <w:divBdr>
            <w:top w:val="none" w:sz="0" w:space="0" w:color="auto"/>
            <w:left w:val="none" w:sz="0" w:space="0" w:color="auto"/>
            <w:bottom w:val="none" w:sz="0" w:space="0" w:color="auto"/>
            <w:right w:val="none" w:sz="0" w:space="0" w:color="auto"/>
          </w:divBdr>
        </w:div>
        <w:div w:id="956446897">
          <w:marLeft w:val="274"/>
          <w:marRight w:val="0"/>
          <w:marTop w:val="0"/>
          <w:marBottom w:val="0"/>
          <w:divBdr>
            <w:top w:val="none" w:sz="0" w:space="0" w:color="auto"/>
            <w:left w:val="none" w:sz="0" w:space="0" w:color="auto"/>
            <w:bottom w:val="none" w:sz="0" w:space="0" w:color="auto"/>
            <w:right w:val="none" w:sz="0" w:space="0" w:color="auto"/>
          </w:divBdr>
        </w:div>
        <w:div w:id="408502007">
          <w:marLeft w:val="274"/>
          <w:marRight w:val="0"/>
          <w:marTop w:val="0"/>
          <w:marBottom w:val="0"/>
          <w:divBdr>
            <w:top w:val="none" w:sz="0" w:space="0" w:color="auto"/>
            <w:left w:val="none" w:sz="0" w:space="0" w:color="auto"/>
            <w:bottom w:val="none" w:sz="0" w:space="0" w:color="auto"/>
            <w:right w:val="none" w:sz="0" w:space="0" w:color="auto"/>
          </w:divBdr>
        </w:div>
        <w:div w:id="1587301109">
          <w:marLeft w:val="274"/>
          <w:marRight w:val="0"/>
          <w:marTop w:val="0"/>
          <w:marBottom w:val="0"/>
          <w:divBdr>
            <w:top w:val="none" w:sz="0" w:space="0" w:color="auto"/>
            <w:left w:val="none" w:sz="0" w:space="0" w:color="auto"/>
            <w:bottom w:val="none" w:sz="0" w:space="0" w:color="auto"/>
            <w:right w:val="none" w:sz="0" w:space="0" w:color="auto"/>
          </w:divBdr>
        </w:div>
        <w:div w:id="2011634611">
          <w:marLeft w:val="274"/>
          <w:marRight w:val="0"/>
          <w:marTop w:val="0"/>
          <w:marBottom w:val="0"/>
          <w:divBdr>
            <w:top w:val="none" w:sz="0" w:space="0" w:color="auto"/>
            <w:left w:val="none" w:sz="0" w:space="0" w:color="auto"/>
            <w:bottom w:val="none" w:sz="0" w:space="0" w:color="auto"/>
            <w:right w:val="none" w:sz="0" w:space="0" w:color="auto"/>
          </w:divBdr>
        </w:div>
        <w:div w:id="1459950060">
          <w:marLeft w:val="274"/>
          <w:marRight w:val="0"/>
          <w:marTop w:val="0"/>
          <w:marBottom w:val="0"/>
          <w:divBdr>
            <w:top w:val="none" w:sz="0" w:space="0" w:color="auto"/>
            <w:left w:val="none" w:sz="0" w:space="0" w:color="auto"/>
            <w:bottom w:val="none" w:sz="0" w:space="0" w:color="auto"/>
            <w:right w:val="none" w:sz="0" w:space="0" w:color="auto"/>
          </w:divBdr>
        </w:div>
      </w:divsChild>
    </w:div>
    <w:div w:id="656081146">
      <w:bodyDiv w:val="1"/>
      <w:marLeft w:val="0"/>
      <w:marRight w:val="0"/>
      <w:marTop w:val="0"/>
      <w:marBottom w:val="0"/>
      <w:divBdr>
        <w:top w:val="none" w:sz="0" w:space="0" w:color="auto"/>
        <w:left w:val="none" w:sz="0" w:space="0" w:color="auto"/>
        <w:bottom w:val="none" w:sz="0" w:space="0" w:color="auto"/>
        <w:right w:val="none" w:sz="0" w:space="0" w:color="auto"/>
      </w:divBdr>
    </w:div>
    <w:div w:id="659624872">
      <w:bodyDiv w:val="1"/>
      <w:marLeft w:val="0"/>
      <w:marRight w:val="0"/>
      <w:marTop w:val="0"/>
      <w:marBottom w:val="0"/>
      <w:divBdr>
        <w:top w:val="none" w:sz="0" w:space="0" w:color="auto"/>
        <w:left w:val="none" w:sz="0" w:space="0" w:color="auto"/>
        <w:bottom w:val="none" w:sz="0" w:space="0" w:color="auto"/>
        <w:right w:val="none" w:sz="0" w:space="0" w:color="auto"/>
      </w:divBdr>
      <w:divsChild>
        <w:div w:id="1779641358">
          <w:marLeft w:val="480"/>
          <w:marRight w:val="0"/>
          <w:marTop w:val="0"/>
          <w:marBottom w:val="0"/>
          <w:divBdr>
            <w:top w:val="none" w:sz="0" w:space="0" w:color="auto"/>
            <w:left w:val="none" w:sz="0" w:space="0" w:color="auto"/>
            <w:bottom w:val="none" w:sz="0" w:space="0" w:color="auto"/>
            <w:right w:val="none" w:sz="0" w:space="0" w:color="auto"/>
          </w:divBdr>
          <w:divsChild>
            <w:div w:id="2060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2382">
      <w:bodyDiv w:val="1"/>
      <w:marLeft w:val="0"/>
      <w:marRight w:val="0"/>
      <w:marTop w:val="0"/>
      <w:marBottom w:val="0"/>
      <w:divBdr>
        <w:top w:val="none" w:sz="0" w:space="0" w:color="auto"/>
        <w:left w:val="none" w:sz="0" w:space="0" w:color="auto"/>
        <w:bottom w:val="none" w:sz="0" w:space="0" w:color="auto"/>
        <w:right w:val="none" w:sz="0" w:space="0" w:color="auto"/>
      </w:divBdr>
    </w:div>
    <w:div w:id="669452313">
      <w:bodyDiv w:val="1"/>
      <w:marLeft w:val="0"/>
      <w:marRight w:val="0"/>
      <w:marTop w:val="0"/>
      <w:marBottom w:val="0"/>
      <w:divBdr>
        <w:top w:val="none" w:sz="0" w:space="0" w:color="auto"/>
        <w:left w:val="none" w:sz="0" w:space="0" w:color="auto"/>
        <w:bottom w:val="none" w:sz="0" w:space="0" w:color="auto"/>
        <w:right w:val="none" w:sz="0" w:space="0" w:color="auto"/>
      </w:divBdr>
    </w:div>
    <w:div w:id="672024835">
      <w:bodyDiv w:val="1"/>
      <w:marLeft w:val="0"/>
      <w:marRight w:val="0"/>
      <w:marTop w:val="0"/>
      <w:marBottom w:val="0"/>
      <w:divBdr>
        <w:top w:val="none" w:sz="0" w:space="0" w:color="auto"/>
        <w:left w:val="none" w:sz="0" w:space="0" w:color="auto"/>
        <w:bottom w:val="none" w:sz="0" w:space="0" w:color="auto"/>
        <w:right w:val="none" w:sz="0" w:space="0" w:color="auto"/>
      </w:divBdr>
    </w:div>
    <w:div w:id="684283929">
      <w:bodyDiv w:val="1"/>
      <w:marLeft w:val="0"/>
      <w:marRight w:val="0"/>
      <w:marTop w:val="0"/>
      <w:marBottom w:val="0"/>
      <w:divBdr>
        <w:top w:val="none" w:sz="0" w:space="0" w:color="auto"/>
        <w:left w:val="none" w:sz="0" w:space="0" w:color="auto"/>
        <w:bottom w:val="none" w:sz="0" w:space="0" w:color="auto"/>
        <w:right w:val="none" w:sz="0" w:space="0" w:color="auto"/>
      </w:divBdr>
    </w:div>
    <w:div w:id="688529955">
      <w:bodyDiv w:val="1"/>
      <w:marLeft w:val="0"/>
      <w:marRight w:val="0"/>
      <w:marTop w:val="0"/>
      <w:marBottom w:val="0"/>
      <w:divBdr>
        <w:top w:val="none" w:sz="0" w:space="0" w:color="auto"/>
        <w:left w:val="none" w:sz="0" w:space="0" w:color="auto"/>
        <w:bottom w:val="none" w:sz="0" w:space="0" w:color="auto"/>
        <w:right w:val="none" w:sz="0" w:space="0" w:color="auto"/>
      </w:divBdr>
      <w:divsChild>
        <w:div w:id="1792940615">
          <w:marLeft w:val="480"/>
          <w:marRight w:val="0"/>
          <w:marTop w:val="0"/>
          <w:marBottom w:val="0"/>
          <w:divBdr>
            <w:top w:val="none" w:sz="0" w:space="0" w:color="auto"/>
            <w:left w:val="none" w:sz="0" w:space="0" w:color="auto"/>
            <w:bottom w:val="none" w:sz="0" w:space="0" w:color="auto"/>
            <w:right w:val="none" w:sz="0" w:space="0" w:color="auto"/>
          </w:divBdr>
          <w:divsChild>
            <w:div w:id="16399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2697">
      <w:bodyDiv w:val="1"/>
      <w:marLeft w:val="0"/>
      <w:marRight w:val="0"/>
      <w:marTop w:val="0"/>
      <w:marBottom w:val="0"/>
      <w:divBdr>
        <w:top w:val="none" w:sz="0" w:space="0" w:color="auto"/>
        <w:left w:val="none" w:sz="0" w:space="0" w:color="auto"/>
        <w:bottom w:val="none" w:sz="0" w:space="0" w:color="auto"/>
        <w:right w:val="none" w:sz="0" w:space="0" w:color="auto"/>
      </w:divBdr>
      <w:divsChild>
        <w:div w:id="869223975">
          <w:marLeft w:val="1224"/>
          <w:marRight w:val="0"/>
          <w:marTop w:val="173"/>
          <w:marBottom w:val="120"/>
          <w:divBdr>
            <w:top w:val="none" w:sz="0" w:space="0" w:color="auto"/>
            <w:left w:val="none" w:sz="0" w:space="0" w:color="auto"/>
            <w:bottom w:val="none" w:sz="0" w:space="0" w:color="auto"/>
            <w:right w:val="none" w:sz="0" w:space="0" w:color="auto"/>
          </w:divBdr>
        </w:div>
        <w:div w:id="835921533">
          <w:marLeft w:val="1224"/>
          <w:marRight w:val="0"/>
          <w:marTop w:val="173"/>
          <w:marBottom w:val="120"/>
          <w:divBdr>
            <w:top w:val="none" w:sz="0" w:space="0" w:color="auto"/>
            <w:left w:val="none" w:sz="0" w:space="0" w:color="auto"/>
            <w:bottom w:val="none" w:sz="0" w:space="0" w:color="auto"/>
            <w:right w:val="none" w:sz="0" w:space="0" w:color="auto"/>
          </w:divBdr>
        </w:div>
        <w:div w:id="2018382465">
          <w:marLeft w:val="1224"/>
          <w:marRight w:val="0"/>
          <w:marTop w:val="173"/>
          <w:marBottom w:val="120"/>
          <w:divBdr>
            <w:top w:val="none" w:sz="0" w:space="0" w:color="auto"/>
            <w:left w:val="none" w:sz="0" w:space="0" w:color="auto"/>
            <w:bottom w:val="none" w:sz="0" w:space="0" w:color="auto"/>
            <w:right w:val="none" w:sz="0" w:space="0" w:color="auto"/>
          </w:divBdr>
        </w:div>
        <w:div w:id="1368486961">
          <w:marLeft w:val="1224"/>
          <w:marRight w:val="0"/>
          <w:marTop w:val="173"/>
          <w:marBottom w:val="120"/>
          <w:divBdr>
            <w:top w:val="none" w:sz="0" w:space="0" w:color="auto"/>
            <w:left w:val="none" w:sz="0" w:space="0" w:color="auto"/>
            <w:bottom w:val="none" w:sz="0" w:space="0" w:color="auto"/>
            <w:right w:val="none" w:sz="0" w:space="0" w:color="auto"/>
          </w:divBdr>
        </w:div>
      </w:divsChild>
    </w:div>
    <w:div w:id="696539751">
      <w:bodyDiv w:val="1"/>
      <w:marLeft w:val="0"/>
      <w:marRight w:val="0"/>
      <w:marTop w:val="0"/>
      <w:marBottom w:val="0"/>
      <w:divBdr>
        <w:top w:val="none" w:sz="0" w:space="0" w:color="auto"/>
        <w:left w:val="none" w:sz="0" w:space="0" w:color="auto"/>
        <w:bottom w:val="none" w:sz="0" w:space="0" w:color="auto"/>
        <w:right w:val="none" w:sz="0" w:space="0" w:color="auto"/>
      </w:divBdr>
    </w:div>
    <w:div w:id="709499283">
      <w:bodyDiv w:val="1"/>
      <w:marLeft w:val="0"/>
      <w:marRight w:val="0"/>
      <w:marTop w:val="0"/>
      <w:marBottom w:val="0"/>
      <w:divBdr>
        <w:top w:val="none" w:sz="0" w:space="0" w:color="auto"/>
        <w:left w:val="none" w:sz="0" w:space="0" w:color="auto"/>
        <w:bottom w:val="none" w:sz="0" w:space="0" w:color="auto"/>
        <w:right w:val="none" w:sz="0" w:space="0" w:color="auto"/>
      </w:divBdr>
    </w:div>
    <w:div w:id="715087779">
      <w:bodyDiv w:val="1"/>
      <w:marLeft w:val="0"/>
      <w:marRight w:val="0"/>
      <w:marTop w:val="0"/>
      <w:marBottom w:val="0"/>
      <w:divBdr>
        <w:top w:val="none" w:sz="0" w:space="0" w:color="auto"/>
        <w:left w:val="none" w:sz="0" w:space="0" w:color="auto"/>
        <w:bottom w:val="none" w:sz="0" w:space="0" w:color="auto"/>
        <w:right w:val="none" w:sz="0" w:space="0" w:color="auto"/>
      </w:divBdr>
    </w:div>
    <w:div w:id="718015386">
      <w:bodyDiv w:val="1"/>
      <w:marLeft w:val="0"/>
      <w:marRight w:val="0"/>
      <w:marTop w:val="0"/>
      <w:marBottom w:val="0"/>
      <w:divBdr>
        <w:top w:val="none" w:sz="0" w:space="0" w:color="auto"/>
        <w:left w:val="none" w:sz="0" w:space="0" w:color="auto"/>
        <w:bottom w:val="none" w:sz="0" w:space="0" w:color="auto"/>
        <w:right w:val="none" w:sz="0" w:space="0" w:color="auto"/>
      </w:divBdr>
      <w:divsChild>
        <w:div w:id="250898925">
          <w:marLeft w:val="0"/>
          <w:marRight w:val="0"/>
          <w:marTop w:val="120"/>
          <w:marBottom w:val="0"/>
          <w:divBdr>
            <w:top w:val="none" w:sz="0" w:space="0" w:color="auto"/>
            <w:left w:val="none" w:sz="0" w:space="0" w:color="auto"/>
            <w:bottom w:val="none" w:sz="0" w:space="0" w:color="auto"/>
            <w:right w:val="none" w:sz="0" w:space="0" w:color="auto"/>
          </w:divBdr>
          <w:divsChild>
            <w:div w:id="1925411268">
              <w:marLeft w:val="0"/>
              <w:marRight w:val="0"/>
              <w:marTop w:val="0"/>
              <w:marBottom w:val="0"/>
              <w:divBdr>
                <w:top w:val="none" w:sz="0" w:space="0" w:color="auto"/>
                <w:left w:val="none" w:sz="0" w:space="0" w:color="auto"/>
                <w:bottom w:val="none" w:sz="0" w:space="0" w:color="auto"/>
                <w:right w:val="none" w:sz="0" w:space="0" w:color="auto"/>
              </w:divBdr>
            </w:div>
          </w:divsChild>
        </w:div>
        <w:div w:id="61683096">
          <w:marLeft w:val="0"/>
          <w:marRight w:val="0"/>
          <w:marTop w:val="120"/>
          <w:marBottom w:val="0"/>
          <w:divBdr>
            <w:top w:val="none" w:sz="0" w:space="0" w:color="auto"/>
            <w:left w:val="none" w:sz="0" w:space="0" w:color="auto"/>
            <w:bottom w:val="none" w:sz="0" w:space="0" w:color="auto"/>
            <w:right w:val="none" w:sz="0" w:space="0" w:color="auto"/>
          </w:divBdr>
          <w:divsChild>
            <w:div w:id="13789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3287">
      <w:bodyDiv w:val="1"/>
      <w:marLeft w:val="0"/>
      <w:marRight w:val="0"/>
      <w:marTop w:val="0"/>
      <w:marBottom w:val="0"/>
      <w:divBdr>
        <w:top w:val="none" w:sz="0" w:space="0" w:color="auto"/>
        <w:left w:val="none" w:sz="0" w:space="0" w:color="auto"/>
        <w:bottom w:val="none" w:sz="0" w:space="0" w:color="auto"/>
        <w:right w:val="none" w:sz="0" w:space="0" w:color="auto"/>
      </w:divBdr>
      <w:divsChild>
        <w:div w:id="462695200">
          <w:marLeft w:val="0"/>
          <w:marRight w:val="0"/>
          <w:marTop w:val="120"/>
          <w:marBottom w:val="0"/>
          <w:divBdr>
            <w:top w:val="none" w:sz="0" w:space="0" w:color="auto"/>
            <w:left w:val="none" w:sz="0" w:space="0" w:color="auto"/>
            <w:bottom w:val="none" w:sz="0" w:space="0" w:color="auto"/>
            <w:right w:val="none" w:sz="0" w:space="0" w:color="auto"/>
          </w:divBdr>
          <w:divsChild>
            <w:div w:id="498234523">
              <w:marLeft w:val="0"/>
              <w:marRight w:val="0"/>
              <w:marTop w:val="0"/>
              <w:marBottom w:val="0"/>
              <w:divBdr>
                <w:top w:val="none" w:sz="0" w:space="0" w:color="auto"/>
                <w:left w:val="none" w:sz="0" w:space="0" w:color="auto"/>
                <w:bottom w:val="none" w:sz="0" w:space="0" w:color="auto"/>
                <w:right w:val="none" w:sz="0" w:space="0" w:color="auto"/>
              </w:divBdr>
            </w:div>
          </w:divsChild>
        </w:div>
        <w:div w:id="102578608">
          <w:marLeft w:val="0"/>
          <w:marRight w:val="0"/>
          <w:marTop w:val="120"/>
          <w:marBottom w:val="0"/>
          <w:divBdr>
            <w:top w:val="none" w:sz="0" w:space="0" w:color="auto"/>
            <w:left w:val="none" w:sz="0" w:space="0" w:color="auto"/>
            <w:bottom w:val="none" w:sz="0" w:space="0" w:color="auto"/>
            <w:right w:val="none" w:sz="0" w:space="0" w:color="auto"/>
          </w:divBdr>
          <w:divsChild>
            <w:div w:id="1116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3880">
      <w:bodyDiv w:val="1"/>
      <w:marLeft w:val="0"/>
      <w:marRight w:val="0"/>
      <w:marTop w:val="0"/>
      <w:marBottom w:val="0"/>
      <w:divBdr>
        <w:top w:val="none" w:sz="0" w:space="0" w:color="auto"/>
        <w:left w:val="none" w:sz="0" w:space="0" w:color="auto"/>
        <w:bottom w:val="none" w:sz="0" w:space="0" w:color="auto"/>
        <w:right w:val="none" w:sz="0" w:space="0" w:color="auto"/>
      </w:divBdr>
    </w:div>
    <w:div w:id="740104753">
      <w:bodyDiv w:val="1"/>
      <w:marLeft w:val="0"/>
      <w:marRight w:val="0"/>
      <w:marTop w:val="0"/>
      <w:marBottom w:val="0"/>
      <w:divBdr>
        <w:top w:val="none" w:sz="0" w:space="0" w:color="auto"/>
        <w:left w:val="none" w:sz="0" w:space="0" w:color="auto"/>
        <w:bottom w:val="none" w:sz="0" w:space="0" w:color="auto"/>
        <w:right w:val="none" w:sz="0" w:space="0" w:color="auto"/>
      </w:divBdr>
      <w:divsChild>
        <w:div w:id="2092924103">
          <w:marLeft w:val="0"/>
          <w:marRight w:val="0"/>
          <w:marTop w:val="0"/>
          <w:marBottom w:val="0"/>
          <w:divBdr>
            <w:top w:val="none" w:sz="0" w:space="0" w:color="auto"/>
            <w:left w:val="none" w:sz="0" w:space="0" w:color="auto"/>
            <w:bottom w:val="none" w:sz="0" w:space="0" w:color="auto"/>
            <w:right w:val="none" w:sz="0" w:space="0" w:color="auto"/>
          </w:divBdr>
          <w:divsChild>
            <w:div w:id="649791199">
              <w:marLeft w:val="0"/>
              <w:marRight w:val="0"/>
              <w:marTop w:val="0"/>
              <w:marBottom w:val="0"/>
              <w:divBdr>
                <w:top w:val="none" w:sz="0" w:space="0" w:color="auto"/>
                <w:left w:val="none" w:sz="0" w:space="0" w:color="auto"/>
                <w:bottom w:val="none" w:sz="0" w:space="0" w:color="auto"/>
                <w:right w:val="none" w:sz="0" w:space="0" w:color="auto"/>
              </w:divBdr>
            </w:div>
            <w:div w:id="944382982">
              <w:marLeft w:val="0"/>
              <w:marRight w:val="0"/>
              <w:marTop w:val="0"/>
              <w:marBottom w:val="0"/>
              <w:divBdr>
                <w:top w:val="none" w:sz="0" w:space="0" w:color="auto"/>
                <w:left w:val="none" w:sz="0" w:space="0" w:color="auto"/>
                <w:bottom w:val="none" w:sz="0" w:space="0" w:color="auto"/>
                <w:right w:val="none" w:sz="0" w:space="0" w:color="auto"/>
              </w:divBdr>
            </w:div>
          </w:divsChild>
        </w:div>
        <w:div w:id="1150950742">
          <w:marLeft w:val="0"/>
          <w:marRight w:val="0"/>
          <w:marTop w:val="0"/>
          <w:marBottom w:val="0"/>
          <w:divBdr>
            <w:top w:val="none" w:sz="0" w:space="0" w:color="auto"/>
            <w:left w:val="none" w:sz="0" w:space="0" w:color="auto"/>
            <w:bottom w:val="none" w:sz="0" w:space="0" w:color="auto"/>
            <w:right w:val="none" w:sz="0" w:space="0" w:color="auto"/>
          </w:divBdr>
          <w:divsChild>
            <w:div w:id="954753052">
              <w:marLeft w:val="-75"/>
              <w:marRight w:val="0"/>
              <w:marTop w:val="30"/>
              <w:marBottom w:val="30"/>
              <w:divBdr>
                <w:top w:val="none" w:sz="0" w:space="0" w:color="auto"/>
                <w:left w:val="none" w:sz="0" w:space="0" w:color="auto"/>
                <w:bottom w:val="none" w:sz="0" w:space="0" w:color="auto"/>
                <w:right w:val="none" w:sz="0" w:space="0" w:color="auto"/>
              </w:divBdr>
              <w:divsChild>
                <w:div w:id="1106195658">
                  <w:marLeft w:val="0"/>
                  <w:marRight w:val="0"/>
                  <w:marTop w:val="0"/>
                  <w:marBottom w:val="0"/>
                  <w:divBdr>
                    <w:top w:val="none" w:sz="0" w:space="0" w:color="auto"/>
                    <w:left w:val="none" w:sz="0" w:space="0" w:color="auto"/>
                    <w:bottom w:val="none" w:sz="0" w:space="0" w:color="auto"/>
                    <w:right w:val="none" w:sz="0" w:space="0" w:color="auto"/>
                  </w:divBdr>
                  <w:divsChild>
                    <w:div w:id="182212272">
                      <w:marLeft w:val="0"/>
                      <w:marRight w:val="0"/>
                      <w:marTop w:val="0"/>
                      <w:marBottom w:val="0"/>
                      <w:divBdr>
                        <w:top w:val="none" w:sz="0" w:space="0" w:color="auto"/>
                        <w:left w:val="none" w:sz="0" w:space="0" w:color="auto"/>
                        <w:bottom w:val="none" w:sz="0" w:space="0" w:color="auto"/>
                        <w:right w:val="none" w:sz="0" w:space="0" w:color="auto"/>
                      </w:divBdr>
                    </w:div>
                  </w:divsChild>
                </w:div>
                <w:div w:id="83963075">
                  <w:marLeft w:val="0"/>
                  <w:marRight w:val="0"/>
                  <w:marTop w:val="0"/>
                  <w:marBottom w:val="0"/>
                  <w:divBdr>
                    <w:top w:val="none" w:sz="0" w:space="0" w:color="auto"/>
                    <w:left w:val="none" w:sz="0" w:space="0" w:color="auto"/>
                    <w:bottom w:val="none" w:sz="0" w:space="0" w:color="auto"/>
                    <w:right w:val="none" w:sz="0" w:space="0" w:color="auto"/>
                  </w:divBdr>
                  <w:divsChild>
                    <w:div w:id="976184721">
                      <w:marLeft w:val="0"/>
                      <w:marRight w:val="0"/>
                      <w:marTop w:val="0"/>
                      <w:marBottom w:val="0"/>
                      <w:divBdr>
                        <w:top w:val="none" w:sz="0" w:space="0" w:color="auto"/>
                        <w:left w:val="none" w:sz="0" w:space="0" w:color="auto"/>
                        <w:bottom w:val="none" w:sz="0" w:space="0" w:color="auto"/>
                        <w:right w:val="none" w:sz="0" w:space="0" w:color="auto"/>
                      </w:divBdr>
                    </w:div>
                  </w:divsChild>
                </w:div>
                <w:div w:id="56170241">
                  <w:marLeft w:val="0"/>
                  <w:marRight w:val="0"/>
                  <w:marTop w:val="0"/>
                  <w:marBottom w:val="0"/>
                  <w:divBdr>
                    <w:top w:val="none" w:sz="0" w:space="0" w:color="auto"/>
                    <w:left w:val="none" w:sz="0" w:space="0" w:color="auto"/>
                    <w:bottom w:val="none" w:sz="0" w:space="0" w:color="auto"/>
                    <w:right w:val="none" w:sz="0" w:space="0" w:color="auto"/>
                  </w:divBdr>
                  <w:divsChild>
                    <w:div w:id="1157771995">
                      <w:marLeft w:val="0"/>
                      <w:marRight w:val="0"/>
                      <w:marTop w:val="0"/>
                      <w:marBottom w:val="0"/>
                      <w:divBdr>
                        <w:top w:val="none" w:sz="0" w:space="0" w:color="auto"/>
                        <w:left w:val="none" w:sz="0" w:space="0" w:color="auto"/>
                        <w:bottom w:val="none" w:sz="0" w:space="0" w:color="auto"/>
                        <w:right w:val="none" w:sz="0" w:space="0" w:color="auto"/>
                      </w:divBdr>
                    </w:div>
                  </w:divsChild>
                </w:div>
                <w:div w:id="684138510">
                  <w:marLeft w:val="0"/>
                  <w:marRight w:val="0"/>
                  <w:marTop w:val="0"/>
                  <w:marBottom w:val="0"/>
                  <w:divBdr>
                    <w:top w:val="none" w:sz="0" w:space="0" w:color="auto"/>
                    <w:left w:val="none" w:sz="0" w:space="0" w:color="auto"/>
                    <w:bottom w:val="none" w:sz="0" w:space="0" w:color="auto"/>
                    <w:right w:val="none" w:sz="0" w:space="0" w:color="auto"/>
                  </w:divBdr>
                  <w:divsChild>
                    <w:div w:id="131101625">
                      <w:marLeft w:val="0"/>
                      <w:marRight w:val="0"/>
                      <w:marTop w:val="0"/>
                      <w:marBottom w:val="0"/>
                      <w:divBdr>
                        <w:top w:val="none" w:sz="0" w:space="0" w:color="auto"/>
                        <w:left w:val="none" w:sz="0" w:space="0" w:color="auto"/>
                        <w:bottom w:val="none" w:sz="0" w:space="0" w:color="auto"/>
                        <w:right w:val="none" w:sz="0" w:space="0" w:color="auto"/>
                      </w:divBdr>
                    </w:div>
                  </w:divsChild>
                </w:div>
                <w:div w:id="1978297841">
                  <w:marLeft w:val="0"/>
                  <w:marRight w:val="0"/>
                  <w:marTop w:val="0"/>
                  <w:marBottom w:val="0"/>
                  <w:divBdr>
                    <w:top w:val="none" w:sz="0" w:space="0" w:color="auto"/>
                    <w:left w:val="none" w:sz="0" w:space="0" w:color="auto"/>
                    <w:bottom w:val="none" w:sz="0" w:space="0" w:color="auto"/>
                    <w:right w:val="none" w:sz="0" w:space="0" w:color="auto"/>
                  </w:divBdr>
                  <w:divsChild>
                    <w:div w:id="1506168540">
                      <w:marLeft w:val="0"/>
                      <w:marRight w:val="0"/>
                      <w:marTop w:val="0"/>
                      <w:marBottom w:val="0"/>
                      <w:divBdr>
                        <w:top w:val="none" w:sz="0" w:space="0" w:color="auto"/>
                        <w:left w:val="none" w:sz="0" w:space="0" w:color="auto"/>
                        <w:bottom w:val="none" w:sz="0" w:space="0" w:color="auto"/>
                        <w:right w:val="none" w:sz="0" w:space="0" w:color="auto"/>
                      </w:divBdr>
                    </w:div>
                  </w:divsChild>
                </w:div>
                <w:div w:id="1015425198">
                  <w:marLeft w:val="0"/>
                  <w:marRight w:val="0"/>
                  <w:marTop w:val="0"/>
                  <w:marBottom w:val="0"/>
                  <w:divBdr>
                    <w:top w:val="none" w:sz="0" w:space="0" w:color="auto"/>
                    <w:left w:val="none" w:sz="0" w:space="0" w:color="auto"/>
                    <w:bottom w:val="none" w:sz="0" w:space="0" w:color="auto"/>
                    <w:right w:val="none" w:sz="0" w:space="0" w:color="auto"/>
                  </w:divBdr>
                  <w:divsChild>
                    <w:div w:id="1913546214">
                      <w:marLeft w:val="0"/>
                      <w:marRight w:val="0"/>
                      <w:marTop w:val="0"/>
                      <w:marBottom w:val="0"/>
                      <w:divBdr>
                        <w:top w:val="none" w:sz="0" w:space="0" w:color="auto"/>
                        <w:left w:val="none" w:sz="0" w:space="0" w:color="auto"/>
                        <w:bottom w:val="none" w:sz="0" w:space="0" w:color="auto"/>
                        <w:right w:val="none" w:sz="0" w:space="0" w:color="auto"/>
                      </w:divBdr>
                    </w:div>
                  </w:divsChild>
                </w:div>
                <w:div w:id="561521035">
                  <w:marLeft w:val="0"/>
                  <w:marRight w:val="0"/>
                  <w:marTop w:val="0"/>
                  <w:marBottom w:val="0"/>
                  <w:divBdr>
                    <w:top w:val="none" w:sz="0" w:space="0" w:color="auto"/>
                    <w:left w:val="none" w:sz="0" w:space="0" w:color="auto"/>
                    <w:bottom w:val="none" w:sz="0" w:space="0" w:color="auto"/>
                    <w:right w:val="none" w:sz="0" w:space="0" w:color="auto"/>
                  </w:divBdr>
                  <w:divsChild>
                    <w:div w:id="794561391">
                      <w:marLeft w:val="0"/>
                      <w:marRight w:val="0"/>
                      <w:marTop w:val="0"/>
                      <w:marBottom w:val="0"/>
                      <w:divBdr>
                        <w:top w:val="none" w:sz="0" w:space="0" w:color="auto"/>
                        <w:left w:val="none" w:sz="0" w:space="0" w:color="auto"/>
                        <w:bottom w:val="none" w:sz="0" w:space="0" w:color="auto"/>
                        <w:right w:val="none" w:sz="0" w:space="0" w:color="auto"/>
                      </w:divBdr>
                    </w:div>
                  </w:divsChild>
                </w:div>
                <w:div w:id="289671005">
                  <w:marLeft w:val="0"/>
                  <w:marRight w:val="0"/>
                  <w:marTop w:val="0"/>
                  <w:marBottom w:val="0"/>
                  <w:divBdr>
                    <w:top w:val="none" w:sz="0" w:space="0" w:color="auto"/>
                    <w:left w:val="none" w:sz="0" w:space="0" w:color="auto"/>
                    <w:bottom w:val="none" w:sz="0" w:space="0" w:color="auto"/>
                    <w:right w:val="none" w:sz="0" w:space="0" w:color="auto"/>
                  </w:divBdr>
                  <w:divsChild>
                    <w:div w:id="1913272925">
                      <w:marLeft w:val="0"/>
                      <w:marRight w:val="0"/>
                      <w:marTop w:val="0"/>
                      <w:marBottom w:val="0"/>
                      <w:divBdr>
                        <w:top w:val="none" w:sz="0" w:space="0" w:color="auto"/>
                        <w:left w:val="none" w:sz="0" w:space="0" w:color="auto"/>
                        <w:bottom w:val="none" w:sz="0" w:space="0" w:color="auto"/>
                        <w:right w:val="none" w:sz="0" w:space="0" w:color="auto"/>
                      </w:divBdr>
                    </w:div>
                  </w:divsChild>
                </w:div>
                <w:div w:id="921569877">
                  <w:marLeft w:val="0"/>
                  <w:marRight w:val="0"/>
                  <w:marTop w:val="0"/>
                  <w:marBottom w:val="0"/>
                  <w:divBdr>
                    <w:top w:val="none" w:sz="0" w:space="0" w:color="auto"/>
                    <w:left w:val="none" w:sz="0" w:space="0" w:color="auto"/>
                    <w:bottom w:val="none" w:sz="0" w:space="0" w:color="auto"/>
                    <w:right w:val="none" w:sz="0" w:space="0" w:color="auto"/>
                  </w:divBdr>
                  <w:divsChild>
                    <w:div w:id="2097894764">
                      <w:marLeft w:val="0"/>
                      <w:marRight w:val="0"/>
                      <w:marTop w:val="0"/>
                      <w:marBottom w:val="0"/>
                      <w:divBdr>
                        <w:top w:val="none" w:sz="0" w:space="0" w:color="auto"/>
                        <w:left w:val="none" w:sz="0" w:space="0" w:color="auto"/>
                        <w:bottom w:val="none" w:sz="0" w:space="0" w:color="auto"/>
                        <w:right w:val="none" w:sz="0" w:space="0" w:color="auto"/>
                      </w:divBdr>
                    </w:div>
                  </w:divsChild>
                </w:div>
                <w:div w:id="950287755">
                  <w:marLeft w:val="0"/>
                  <w:marRight w:val="0"/>
                  <w:marTop w:val="0"/>
                  <w:marBottom w:val="0"/>
                  <w:divBdr>
                    <w:top w:val="none" w:sz="0" w:space="0" w:color="auto"/>
                    <w:left w:val="none" w:sz="0" w:space="0" w:color="auto"/>
                    <w:bottom w:val="none" w:sz="0" w:space="0" w:color="auto"/>
                    <w:right w:val="none" w:sz="0" w:space="0" w:color="auto"/>
                  </w:divBdr>
                  <w:divsChild>
                    <w:div w:id="1514224005">
                      <w:marLeft w:val="0"/>
                      <w:marRight w:val="0"/>
                      <w:marTop w:val="0"/>
                      <w:marBottom w:val="0"/>
                      <w:divBdr>
                        <w:top w:val="none" w:sz="0" w:space="0" w:color="auto"/>
                        <w:left w:val="none" w:sz="0" w:space="0" w:color="auto"/>
                        <w:bottom w:val="none" w:sz="0" w:space="0" w:color="auto"/>
                        <w:right w:val="none" w:sz="0" w:space="0" w:color="auto"/>
                      </w:divBdr>
                    </w:div>
                  </w:divsChild>
                </w:div>
                <w:div w:id="78138548">
                  <w:marLeft w:val="0"/>
                  <w:marRight w:val="0"/>
                  <w:marTop w:val="0"/>
                  <w:marBottom w:val="0"/>
                  <w:divBdr>
                    <w:top w:val="none" w:sz="0" w:space="0" w:color="auto"/>
                    <w:left w:val="none" w:sz="0" w:space="0" w:color="auto"/>
                    <w:bottom w:val="none" w:sz="0" w:space="0" w:color="auto"/>
                    <w:right w:val="none" w:sz="0" w:space="0" w:color="auto"/>
                  </w:divBdr>
                  <w:divsChild>
                    <w:div w:id="702285814">
                      <w:marLeft w:val="0"/>
                      <w:marRight w:val="0"/>
                      <w:marTop w:val="0"/>
                      <w:marBottom w:val="0"/>
                      <w:divBdr>
                        <w:top w:val="none" w:sz="0" w:space="0" w:color="auto"/>
                        <w:left w:val="none" w:sz="0" w:space="0" w:color="auto"/>
                        <w:bottom w:val="none" w:sz="0" w:space="0" w:color="auto"/>
                        <w:right w:val="none" w:sz="0" w:space="0" w:color="auto"/>
                      </w:divBdr>
                    </w:div>
                  </w:divsChild>
                </w:div>
                <w:div w:id="433790858">
                  <w:marLeft w:val="0"/>
                  <w:marRight w:val="0"/>
                  <w:marTop w:val="0"/>
                  <w:marBottom w:val="0"/>
                  <w:divBdr>
                    <w:top w:val="none" w:sz="0" w:space="0" w:color="auto"/>
                    <w:left w:val="none" w:sz="0" w:space="0" w:color="auto"/>
                    <w:bottom w:val="none" w:sz="0" w:space="0" w:color="auto"/>
                    <w:right w:val="none" w:sz="0" w:space="0" w:color="auto"/>
                  </w:divBdr>
                  <w:divsChild>
                    <w:div w:id="957182554">
                      <w:marLeft w:val="0"/>
                      <w:marRight w:val="0"/>
                      <w:marTop w:val="0"/>
                      <w:marBottom w:val="0"/>
                      <w:divBdr>
                        <w:top w:val="none" w:sz="0" w:space="0" w:color="auto"/>
                        <w:left w:val="none" w:sz="0" w:space="0" w:color="auto"/>
                        <w:bottom w:val="none" w:sz="0" w:space="0" w:color="auto"/>
                        <w:right w:val="none" w:sz="0" w:space="0" w:color="auto"/>
                      </w:divBdr>
                    </w:div>
                  </w:divsChild>
                </w:div>
                <w:div w:id="894467904">
                  <w:marLeft w:val="0"/>
                  <w:marRight w:val="0"/>
                  <w:marTop w:val="0"/>
                  <w:marBottom w:val="0"/>
                  <w:divBdr>
                    <w:top w:val="none" w:sz="0" w:space="0" w:color="auto"/>
                    <w:left w:val="none" w:sz="0" w:space="0" w:color="auto"/>
                    <w:bottom w:val="none" w:sz="0" w:space="0" w:color="auto"/>
                    <w:right w:val="none" w:sz="0" w:space="0" w:color="auto"/>
                  </w:divBdr>
                  <w:divsChild>
                    <w:div w:id="1980841980">
                      <w:marLeft w:val="0"/>
                      <w:marRight w:val="0"/>
                      <w:marTop w:val="0"/>
                      <w:marBottom w:val="0"/>
                      <w:divBdr>
                        <w:top w:val="none" w:sz="0" w:space="0" w:color="auto"/>
                        <w:left w:val="none" w:sz="0" w:space="0" w:color="auto"/>
                        <w:bottom w:val="none" w:sz="0" w:space="0" w:color="auto"/>
                        <w:right w:val="none" w:sz="0" w:space="0" w:color="auto"/>
                      </w:divBdr>
                    </w:div>
                  </w:divsChild>
                </w:div>
                <w:div w:id="1939025364">
                  <w:marLeft w:val="0"/>
                  <w:marRight w:val="0"/>
                  <w:marTop w:val="0"/>
                  <w:marBottom w:val="0"/>
                  <w:divBdr>
                    <w:top w:val="none" w:sz="0" w:space="0" w:color="auto"/>
                    <w:left w:val="none" w:sz="0" w:space="0" w:color="auto"/>
                    <w:bottom w:val="none" w:sz="0" w:space="0" w:color="auto"/>
                    <w:right w:val="none" w:sz="0" w:space="0" w:color="auto"/>
                  </w:divBdr>
                  <w:divsChild>
                    <w:div w:id="2011714906">
                      <w:marLeft w:val="0"/>
                      <w:marRight w:val="0"/>
                      <w:marTop w:val="0"/>
                      <w:marBottom w:val="0"/>
                      <w:divBdr>
                        <w:top w:val="none" w:sz="0" w:space="0" w:color="auto"/>
                        <w:left w:val="none" w:sz="0" w:space="0" w:color="auto"/>
                        <w:bottom w:val="none" w:sz="0" w:space="0" w:color="auto"/>
                        <w:right w:val="none" w:sz="0" w:space="0" w:color="auto"/>
                      </w:divBdr>
                    </w:div>
                  </w:divsChild>
                </w:div>
                <w:div w:id="741417497">
                  <w:marLeft w:val="0"/>
                  <w:marRight w:val="0"/>
                  <w:marTop w:val="0"/>
                  <w:marBottom w:val="0"/>
                  <w:divBdr>
                    <w:top w:val="none" w:sz="0" w:space="0" w:color="auto"/>
                    <w:left w:val="none" w:sz="0" w:space="0" w:color="auto"/>
                    <w:bottom w:val="none" w:sz="0" w:space="0" w:color="auto"/>
                    <w:right w:val="none" w:sz="0" w:space="0" w:color="auto"/>
                  </w:divBdr>
                  <w:divsChild>
                    <w:div w:id="1121076740">
                      <w:marLeft w:val="0"/>
                      <w:marRight w:val="0"/>
                      <w:marTop w:val="0"/>
                      <w:marBottom w:val="0"/>
                      <w:divBdr>
                        <w:top w:val="none" w:sz="0" w:space="0" w:color="auto"/>
                        <w:left w:val="none" w:sz="0" w:space="0" w:color="auto"/>
                        <w:bottom w:val="none" w:sz="0" w:space="0" w:color="auto"/>
                        <w:right w:val="none" w:sz="0" w:space="0" w:color="auto"/>
                      </w:divBdr>
                    </w:div>
                  </w:divsChild>
                </w:div>
                <w:div w:id="1754625749">
                  <w:marLeft w:val="0"/>
                  <w:marRight w:val="0"/>
                  <w:marTop w:val="0"/>
                  <w:marBottom w:val="0"/>
                  <w:divBdr>
                    <w:top w:val="none" w:sz="0" w:space="0" w:color="auto"/>
                    <w:left w:val="none" w:sz="0" w:space="0" w:color="auto"/>
                    <w:bottom w:val="none" w:sz="0" w:space="0" w:color="auto"/>
                    <w:right w:val="none" w:sz="0" w:space="0" w:color="auto"/>
                  </w:divBdr>
                  <w:divsChild>
                    <w:div w:id="610086100">
                      <w:marLeft w:val="0"/>
                      <w:marRight w:val="0"/>
                      <w:marTop w:val="0"/>
                      <w:marBottom w:val="0"/>
                      <w:divBdr>
                        <w:top w:val="none" w:sz="0" w:space="0" w:color="auto"/>
                        <w:left w:val="none" w:sz="0" w:space="0" w:color="auto"/>
                        <w:bottom w:val="none" w:sz="0" w:space="0" w:color="auto"/>
                        <w:right w:val="none" w:sz="0" w:space="0" w:color="auto"/>
                      </w:divBdr>
                    </w:div>
                  </w:divsChild>
                </w:div>
                <w:div w:id="1111823550">
                  <w:marLeft w:val="0"/>
                  <w:marRight w:val="0"/>
                  <w:marTop w:val="0"/>
                  <w:marBottom w:val="0"/>
                  <w:divBdr>
                    <w:top w:val="none" w:sz="0" w:space="0" w:color="auto"/>
                    <w:left w:val="none" w:sz="0" w:space="0" w:color="auto"/>
                    <w:bottom w:val="none" w:sz="0" w:space="0" w:color="auto"/>
                    <w:right w:val="none" w:sz="0" w:space="0" w:color="auto"/>
                  </w:divBdr>
                  <w:divsChild>
                    <w:div w:id="123087076">
                      <w:marLeft w:val="0"/>
                      <w:marRight w:val="0"/>
                      <w:marTop w:val="0"/>
                      <w:marBottom w:val="0"/>
                      <w:divBdr>
                        <w:top w:val="none" w:sz="0" w:space="0" w:color="auto"/>
                        <w:left w:val="none" w:sz="0" w:space="0" w:color="auto"/>
                        <w:bottom w:val="none" w:sz="0" w:space="0" w:color="auto"/>
                        <w:right w:val="none" w:sz="0" w:space="0" w:color="auto"/>
                      </w:divBdr>
                    </w:div>
                  </w:divsChild>
                </w:div>
                <w:div w:id="228543273">
                  <w:marLeft w:val="0"/>
                  <w:marRight w:val="0"/>
                  <w:marTop w:val="0"/>
                  <w:marBottom w:val="0"/>
                  <w:divBdr>
                    <w:top w:val="none" w:sz="0" w:space="0" w:color="auto"/>
                    <w:left w:val="none" w:sz="0" w:space="0" w:color="auto"/>
                    <w:bottom w:val="none" w:sz="0" w:space="0" w:color="auto"/>
                    <w:right w:val="none" w:sz="0" w:space="0" w:color="auto"/>
                  </w:divBdr>
                  <w:divsChild>
                    <w:div w:id="1199706494">
                      <w:marLeft w:val="0"/>
                      <w:marRight w:val="0"/>
                      <w:marTop w:val="0"/>
                      <w:marBottom w:val="0"/>
                      <w:divBdr>
                        <w:top w:val="none" w:sz="0" w:space="0" w:color="auto"/>
                        <w:left w:val="none" w:sz="0" w:space="0" w:color="auto"/>
                        <w:bottom w:val="none" w:sz="0" w:space="0" w:color="auto"/>
                        <w:right w:val="none" w:sz="0" w:space="0" w:color="auto"/>
                      </w:divBdr>
                    </w:div>
                  </w:divsChild>
                </w:div>
                <w:div w:id="1529220025">
                  <w:marLeft w:val="0"/>
                  <w:marRight w:val="0"/>
                  <w:marTop w:val="0"/>
                  <w:marBottom w:val="0"/>
                  <w:divBdr>
                    <w:top w:val="none" w:sz="0" w:space="0" w:color="auto"/>
                    <w:left w:val="none" w:sz="0" w:space="0" w:color="auto"/>
                    <w:bottom w:val="none" w:sz="0" w:space="0" w:color="auto"/>
                    <w:right w:val="none" w:sz="0" w:space="0" w:color="auto"/>
                  </w:divBdr>
                  <w:divsChild>
                    <w:div w:id="197083963">
                      <w:marLeft w:val="0"/>
                      <w:marRight w:val="0"/>
                      <w:marTop w:val="0"/>
                      <w:marBottom w:val="0"/>
                      <w:divBdr>
                        <w:top w:val="none" w:sz="0" w:space="0" w:color="auto"/>
                        <w:left w:val="none" w:sz="0" w:space="0" w:color="auto"/>
                        <w:bottom w:val="none" w:sz="0" w:space="0" w:color="auto"/>
                        <w:right w:val="none" w:sz="0" w:space="0" w:color="auto"/>
                      </w:divBdr>
                    </w:div>
                  </w:divsChild>
                </w:div>
                <w:div w:id="1291085227">
                  <w:marLeft w:val="0"/>
                  <w:marRight w:val="0"/>
                  <w:marTop w:val="0"/>
                  <w:marBottom w:val="0"/>
                  <w:divBdr>
                    <w:top w:val="none" w:sz="0" w:space="0" w:color="auto"/>
                    <w:left w:val="none" w:sz="0" w:space="0" w:color="auto"/>
                    <w:bottom w:val="none" w:sz="0" w:space="0" w:color="auto"/>
                    <w:right w:val="none" w:sz="0" w:space="0" w:color="auto"/>
                  </w:divBdr>
                  <w:divsChild>
                    <w:div w:id="1160926793">
                      <w:marLeft w:val="0"/>
                      <w:marRight w:val="0"/>
                      <w:marTop w:val="0"/>
                      <w:marBottom w:val="0"/>
                      <w:divBdr>
                        <w:top w:val="none" w:sz="0" w:space="0" w:color="auto"/>
                        <w:left w:val="none" w:sz="0" w:space="0" w:color="auto"/>
                        <w:bottom w:val="none" w:sz="0" w:space="0" w:color="auto"/>
                        <w:right w:val="none" w:sz="0" w:space="0" w:color="auto"/>
                      </w:divBdr>
                    </w:div>
                  </w:divsChild>
                </w:div>
                <w:div w:id="1528061528">
                  <w:marLeft w:val="0"/>
                  <w:marRight w:val="0"/>
                  <w:marTop w:val="0"/>
                  <w:marBottom w:val="0"/>
                  <w:divBdr>
                    <w:top w:val="none" w:sz="0" w:space="0" w:color="auto"/>
                    <w:left w:val="none" w:sz="0" w:space="0" w:color="auto"/>
                    <w:bottom w:val="none" w:sz="0" w:space="0" w:color="auto"/>
                    <w:right w:val="none" w:sz="0" w:space="0" w:color="auto"/>
                  </w:divBdr>
                  <w:divsChild>
                    <w:div w:id="1928809636">
                      <w:marLeft w:val="0"/>
                      <w:marRight w:val="0"/>
                      <w:marTop w:val="0"/>
                      <w:marBottom w:val="0"/>
                      <w:divBdr>
                        <w:top w:val="none" w:sz="0" w:space="0" w:color="auto"/>
                        <w:left w:val="none" w:sz="0" w:space="0" w:color="auto"/>
                        <w:bottom w:val="none" w:sz="0" w:space="0" w:color="auto"/>
                        <w:right w:val="none" w:sz="0" w:space="0" w:color="auto"/>
                      </w:divBdr>
                    </w:div>
                  </w:divsChild>
                </w:div>
                <w:div w:id="1819107058">
                  <w:marLeft w:val="0"/>
                  <w:marRight w:val="0"/>
                  <w:marTop w:val="0"/>
                  <w:marBottom w:val="0"/>
                  <w:divBdr>
                    <w:top w:val="none" w:sz="0" w:space="0" w:color="auto"/>
                    <w:left w:val="none" w:sz="0" w:space="0" w:color="auto"/>
                    <w:bottom w:val="none" w:sz="0" w:space="0" w:color="auto"/>
                    <w:right w:val="none" w:sz="0" w:space="0" w:color="auto"/>
                  </w:divBdr>
                  <w:divsChild>
                    <w:div w:id="1935244129">
                      <w:marLeft w:val="0"/>
                      <w:marRight w:val="0"/>
                      <w:marTop w:val="0"/>
                      <w:marBottom w:val="0"/>
                      <w:divBdr>
                        <w:top w:val="none" w:sz="0" w:space="0" w:color="auto"/>
                        <w:left w:val="none" w:sz="0" w:space="0" w:color="auto"/>
                        <w:bottom w:val="none" w:sz="0" w:space="0" w:color="auto"/>
                        <w:right w:val="none" w:sz="0" w:space="0" w:color="auto"/>
                      </w:divBdr>
                    </w:div>
                  </w:divsChild>
                </w:div>
                <w:div w:id="192308374">
                  <w:marLeft w:val="0"/>
                  <w:marRight w:val="0"/>
                  <w:marTop w:val="0"/>
                  <w:marBottom w:val="0"/>
                  <w:divBdr>
                    <w:top w:val="none" w:sz="0" w:space="0" w:color="auto"/>
                    <w:left w:val="none" w:sz="0" w:space="0" w:color="auto"/>
                    <w:bottom w:val="none" w:sz="0" w:space="0" w:color="auto"/>
                    <w:right w:val="none" w:sz="0" w:space="0" w:color="auto"/>
                  </w:divBdr>
                  <w:divsChild>
                    <w:div w:id="128595432">
                      <w:marLeft w:val="0"/>
                      <w:marRight w:val="0"/>
                      <w:marTop w:val="0"/>
                      <w:marBottom w:val="0"/>
                      <w:divBdr>
                        <w:top w:val="none" w:sz="0" w:space="0" w:color="auto"/>
                        <w:left w:val="none" w:sz="0" w:space="0" w:color="auto"/>
                        <w:bottom w:val="none" w:sz="0" w:space="0" w:color="auto"/>
                        <w:right w:val="none" w:sz="0" w:space="0" w:color="auto"/>
                      </w:divBdr>
                    </w:div>
                  </w:divsChild>
                </w:div>
                <w:div w:id="1671442242">
                  <w:marLeft w:val="0"/>
                  <w:marRight w:val="0"/>
                  <w:marTop w:val="0"/>
                  <w:marBottom w:val="0"/>
                  <w:divBdr>
                    <w:top w:val="none" w:sz="0" w:space="0" w:color="auto"/>
                    <w:left w:val="none" w:sz="0" w:space="0" w:color="auto"/>
                    <w:bottom w:val="none" w:sz="0" w:space="0" w:color="auto"/>
                    <w:right w:val="none" w:sz="0" w:space="0" w:color="auto"/>
                  </w:divBdr>
                  <w:divsChild>
                    <w:div w:id="16465980">
                      <w:marLeft w:val="0"/>
                      <w:marRight w:val="0"/>
                      <w:marTop w:val="0"/>
                      <w:marBottom w:val="0"/>
                      <w:divBdr>
                        <w:top w:val="none" w:sz="0" w:space="0" w:color="auto"/>
                        <w:left w:val="none" w:sz="0" w:space="0" w:color="auto"/>
                        <w:bottom w:val="none" w:sz="0" w:space="0" w:color="auto"/>
                        <w:right w:val="none" w:sz="0" w:space="0" w:color="auto"/>
                      </w:divBdr>
                    </w:div>
                  </w:divsChild>
                </w:div>
                <w:div w:id="887227841">
                  <w:marLeft w:val="0"/>
                  <w:marRight w:val="0"/>
                  <w:marTop w:val="0"/>
                  <w:marBottom w:val="0"/>
                  <w:divBdr>
                    <w:top w:val="none" w:sz="0" w:space="0" w:color="auto"/>
                    <w:left w:val="none" w:sz="0" w:space="0" w:color="auto"/>
                    <w:bottom w:val="none" w:sz="0" w:space="0" w:color="auto"/>
                    <w:right w:val="none" w:sz="0" w:space="0" w:color="auto"/>
                  </w:divBdr>
                  <w:divsChild>
                    <w:div w:id="178980015">
                      <w:marLeft w:val="0"/>
                      <w:marRight w:val="0"/>
                      <w:marTop w:val="0"/>
                      <w:marBottom w:val="0"/>
                      <w:divBdr>
                        <w:top w:val="none" w:sz="0" w:space="0" w:color="auto"/>
                        <w:left w:val="none" w:sz="0" w:space="0" w:color="auto"/>
                        <w:bottom w:val="none" w:sz="0" w:space="0" w:color="auto"/>
                        <w:right w:val="none" w:sz="0" w:space="0" w:color="auto"/>
                      </w:divBdr>
                    </w:div>
                  </w:divsChild>
                </w:div>
                <w:div w:id="933199079">
                  <w:marLeft w:val="0"/>
                  <w:marRight w:val="0"/>
                  <w:marTop w:val="0"/>
                  <w:marBottom w:val="0"/>
                  <w:divBdr>
                    <w:top w:val="none" w:sz="0" w:space="0" w:color="auto"/>
                    <w:left w:val="none" w:sz="0" w:space="0" w:color="auto"/>
                    <w:bottom w:val="none" w:sz="0" w:space="0" w:color="auto"/>
                    <w:right w:val="none" w:sz="0" w:space="0" w:color="auto"/>
                  </w:divBdr>
                  <w:divsChild>
                    <w:div w:id="1216237048">
                      <w:marLeft w:val="0"/>
                      <w:marRight w:val="0"/>
                      <w:marTop w:val="0"/>
                      <w:marBottom w:val="0"/>
                      <w:divBdr>
                        <w:top w:val="none" w:sz="0" w:space="0" w:color="auto"/>
                        <w:left w:val="none" w:sz="0" w:space="0" w:color="auto"/>
                        <w:bottom w:val="none" w:sz="0" w:space="0" w:color="auto"/>
                        <w:right w:val="none" w:sz="0" w:space="0" w:color="auto"/>
                      </w:divBdr>
                    </w:div>
                  </w:divsChild>
                </w:div>
                <w:div w:id="428238935">
                  <w:marLeft w:val="0"/>
                  <w:marRight w:val="0"/>
                  <w:marTop w:val="0"/>
                  <w:marBottom w:val="0"/>
                  <w:divBdr>
                    <w:top w:val="none" w:sz="0" w:space="0" w:color="auto"/>
                    <w:left w:val="none" w:sz="0" w:space="0" w:color="auto"/>
                    <w:bottom w:val="none" w:sz="0" w:space="0" w:color="auto"/>
                    <w:right w:val="none" w:sz="0" w:space="0" w:color="auto"/>
                  </w:divBdr>
                  <w:divsChild>
                    <w:div w:id="1344436717">
                      <w:marLeft w:val="0"/>
                      <w:marRight w:val="0"/>
                      <w:marTop w:val="0"/>
                      <w:marBottom w:val="0"/>
                      <w:divBdr>
                        <w:top w:val="none" w:sz="0" w:space="0" w:color="auto"/>
                        <w:left w:val="none" w:sz="0" w:space="0" w:color="auto"/>
                        <w:bottom w:val="none" w:sz="0" w:space="0" w:color="auto"/>
                        <w:right w:val="none" w:sz="0" w:space="0" w:color="auto"/>
                      </w:divBdr>
                    </w:div>
                  </w:divsChild>
                </w:div>
                <w:div w:id="1264458198">
                  <w:marLeft w:val="0"/>
                  <w:marRight w:val="0"/>
                  <w:marTop w:val="0"/>
                  <w:marBottom w:val="0"/>
                  <w:divBdr>
                    <w:top w:val="none" w:sz="0" w:space="0" w:color="auto"/>
                    <w:left w:val="none" w:sz="0" w:space="0" w:color="auto"/>
                    <w:bottom w:val="none" w:sz="0" w:space="0" w:color="auto"/>
                    <w:right w:val="none" w:sz="0" w:space="0" w:color="auto"/>
                  </w:divBdr>
                  <w:divsChild>
                    <w:div w:id="104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8132">
          <w:marLeft w:val="0"/>
          <w:marRight w:val="0"/>
          <w:marTop w:val="0"/>
          <w:marBottom w:val="0"/>
          <w:divBdr>
            <w:top w:val="none" w:sz="0" w:space="0" w:color="auto"/>
            <w:left w:val="none" w:sz="0" w:space="0" w:color="auto"/>
            <w:bottom w:val="none" w:sz="0" w:space="0" w:color="auto"/>
            <w:right w:val="none" w:sz="0" w:space="0" w:color="auto"/>
          </w:divBdr>
        </w:div>
        <w:div w:id="1905337251">
          <w:marLeft w:val="0"/>
          <w:marRight w:val="0"/>
          <w:marTop w:val="0"/>
          <w:marBottom w:val="0"/>
          <w:divBdr>
            <w:top w:val="none" w:sz="0" w:space="0" w:color="auto"/>
            <w:left w:val="none" w:sz="0" w:space="0" w:color="auto"/>
            <w:bottom w:val="none" w:sz="0" w:space="0" w:color="auto"/>
            <w:right w:val="none" w:sz="0" w:space="0" w:color="auto"/>
          </w:divBdr>
        </w:div>
      </w:divsChild>
    </w:div>
    <w:div w:id="742022155">
      <w:bodyDiv w:val="1"/>
      <w:marLeft w:val="0"/>
      <w:marRight w:val="0"/>
      <w:marTop w:val="0"/>
      <w:marBottom w:val="0"/>
      <w:divBdr>
        <w:top w:val="none" w:sz="0" w:space="0" w:color="auto"/>
        <w:left w:val="none" w:sz="0" w:space="0" w:color="auto"/>
        <w:bottom w:val="none" w:sz="0" w:space="0" w:color="auto"/>
        <w:right w:val="none" w:sz="0" w:space="0" w:color="auto"/>
      </w:divBdr>
      <w:divsChild>
        <w:div w:id="1161510178">
          <w:marLeft w:val="0"/>
          <w:marRight w:val="0"/>
          <w:marTop w:val="0"/>
          <w:marBottom w:val="0"/>
          <w:divBdr>
            <w:top w:val="none" w:sz="0" w:space="0" w:color="auto"/>
            <w:left w:val="none" w:sz="0" w:space="0" w:color="auto"/>
            <w:bottom w:val="none" w:sz="0" w:space="0" w:color="auto"/>
            <w:right w:val="none" w:sz="0" w:space="0" w:color="auto"/>
          </w:divBdr>
        </w:div>
        <w:div w:id="1474567518">
          <w:marLeft w:val="0"/>
          <w:marRight w:val="0"/>
          <w:marTop w:val="0"/>
          <w:marBottom w:val="0"/>
          <w:divBdr>
            <w:top w:val="none" w:sz="0" w:space="0" w:color="auto"/>
            <w:left w:val="none" w:sz="0" w:space="0" w:color="auto"/>
            <w:bottom w:val="none" w:sz="0" w:space="0" w:color="auto"/>
            <w:right w:val="none" w:sz="0" w:space="0" w:color="auto"/>
          </w:divBdr>
        </w:div>
        <w:div w:id="1002782655">
          <w:marLeft w:val="0"/>
          <w:marRight w:val="0"/>
          <w:marTop w:val="0"/>
          <w:marBottom w:val="0"/>
          <w:divBdr>
            <w:top w:val="none" w:sz="0" w:space="0" w:color="auto"/>
            <w:left w:val="none" w:sz="0" w:space="0" w:color="auto"/>
            <w:bottom w:val="none" w:sz="0" w:space="0" w:color="auto"/>
            <w:right w:val="none" w:sz="0" w:space="0" w:color="auto"/>
          </w:divBdr>
        </w:div>
        <w:div w:id="476075749">
          <w:marLeft w:val="0"/>
          <w:marRight w:val="0"/>
          <w:marTop w:val="0"/>
          <w:marBottom w:val="0"/>
          <w:divBdr>
            <w:top w:val="none" w:sz="0" w:space="0" w:color="auto"/>
            <w:left w:val="none" w:sz="0" w:space="0" w:color="auto"/>
            <w:bottom w:val="none" w:sz="0" w:space="0" w:color="auto"/>
            <w:right w:val="none" w:sz="0" w:space="0" w:color="auto"/>
          </w:divBdr>
        </w:div>
        <w:div w:id="827983537">
          <w:marLeft w:val="0"/>
          <w:marRight w:val="0"/>
          <w:marTop w:val="0"/>
          <w:marBottom w:val="0"/>
          <w:divBdr>
            <w:top w:val="none" w:sz="0" w:space="0" w:color="auto"/>
            <w:left w:val="none" w:sz="0" w:space="0" w:color="auto"/>
            <w:bottom w:val="none" w:sz="0" w:space="0" w:color="auto"/>
            <w:right w:val="none" w:sz="0" w:space="0" w:color="auto"/>
          </w:divBdr>
        </w:div>
        <w:div w:id="1105466747">
          <w:marLeft w:val="0"/>
          <w:marRight w:val="0"/>
          <w:marTop w:val="0"/>
          <w:marBottom w:val="0"/>
          <w:divBdr>
            <w:top w:val="none" w:sz="0" w:space="0" w:color="auto"/>
            <w:left w:val="none" w:sz="0" w:space="0" w:color="auto"/>
            <w:bottom w:val="none" w:sz="0" w:space="0" w:color="auto"/>
            <w:right w:val="none" w:sz="0" w:space="0" w:color="auto"/>
          </w:divBdr>
        </w:div>
        <w:div w:id="550380570">
          <w:marLeft w:val="0"/>
          <w:marRight w:val="0"/>
          <w:marTop w:val="0"/>
          <w:marBottom w:val="0"/>
          <w:divBdr>
            <w:top w:val="none" w:sz="0" w:space="0" w:color="auto"/>
            <w:left w:val="none" w:sz="0" w:space="0" w:color="auto"/>
            <w:bottom w:val="none" w:sz="0" w:space="0" w:color="auto"/>
            <w:right w:val="none" w:sz="0" w:space="0" w:color="auto"/>
          </w:divBdr>
        </w:div>
        <w:div w:id="349259977">
          <w:marLeft w:val="0"/>
          <w:marRight w:val="0"/>
          <w:marTop w:val="0"/>
          <w:marBottom w:val="0"/>
          <w:divBdr>
            <w:top w:val="none" w:sz="0" w:space="0" w:color="auto"/>
            <w:left w:val="none" w:sz="0" w:space="0" w:color="auto"/>
            <w:bottom w:val="none" w:sz="0" w:space="0" w:color="auto"/>
            <w:right w:val="none" w:sz="0" w:space="0" w:color="auto"/>
          </w:divBdr>
        </w:div>
        <w:div w:id="1732196277">
          <w:marLeft w:val="0"/>
          <w:marRight w:val="0"/>
          <w:marTop w:val="0"/>
          <w:marBottom w:val="0"/>
          <w:divBdr>
            <w:top w:val="none" w:sz="0" w:space="0" w:color="auto"/>
            <w:left w:val="none" w:sz="0" w:space="0" w:color="auto"/>
            <w:bottom w:val="none" w:sz="0" w:space="0" w:color="auto"/>
            <w:right w:val="none" w:sz="0" w:space="0" w:color="auto"/>
          </w:divBdr>
        </w:div>
        <w:div w:id="664625446">
          <w:marLeft w:val="0"/>
          <w:marRight w:val="0"/>
          <w:marTop w:val="0"/>
          <w:marBottom w:val="0"/>
          <w:divBdr>
            <w:top w:val="none" w:sz="0" w:space="0" w:color="auto"/>
            <w:left w:val="none" w:sz="0" w:space="0" w:color="auto"/>
            <w:bottom w:val="none" w:sz="0" w:space="0" w:color="auto"/>
            <w:right w:val="none" w:sz="0" w:space="0" w:color="auto"/>
          </w:divBdr>
        </w:div>
        <w:div w:id="85661959">
          <w:marLeft w:val="0"/>
          <w:marRight w:val="0"/>
          <w:marTop w:val="0"/>
          <w:marBottom w:val="0"/>
          <w:divBdr>
            <w:top w:val="none" w:sz="0" w:space="0" w:color="auto"/>
            <w:left w:val="none" w:sz="0" w:space="0" w:color="auto"/>
            <w:bottom w:val="none" w:sz="0" w:space="0" w:color="auto"/>
            <w:right w:val="none" w:sz="0" w:space="0" w:color="auto"/>
          </w:divBdr>
        </w:div>
        <w:div w:id="569926674">
          <w:marLeft w:val="0"/>
          <w:marRight w:val="0"/>
          <w:marTop w:val="0"/>
          <w:marBottom w:val="0"/>
          <w:divBdr>
            <w:top w:val="none" w:sz="0" w:space="0" w:color="auto"/>
            <w:left w:val="none" w:sz="0" w:space="0" w:color="auto"/>
            <w:bottom w:val="none" w:sz="0" w:space="0" w:color="auto"/>
            <w:right w:val="none" w:sz="0" w:space="0" w:color="auto"/>
          </w:divBdr>
        </w:div>
        <w:div w:id="946809620">
          <w:marLeft w:val="0"/>
          <w:marRight w:val="0"/>
          <w:marTop w:val="0"/>
          <w:marBottom w:val="0"/>
          <w:divBdr>
            <w:top w:val="none" w:sz="0" w:space="0" w:color="auto"/>
            <w:left w:val="none" w:sz="0" w:space="0" w:color="auto"/>
            <w:bottom w:val="none" w:sz="0" w:space="0" w:color="auto"/>
            <w:right w:val="none" w:sz="0" w:space="0" w:color="auto"/>
          </w:divBdr>
        </w:div>
        <w:div w:id="891311260">
          <w:marLeft w:val="0"/>
          <w:marRight w:val="0"/>
          <w:marTop w:val="0"/>
          <w:marBottom w:val="0"/>
          <w:divBdr>
            <w:top w:val="none" w:sz="0" w:space="0" w:color="auto"/>
            <w:left w:val="none" w:sz="0" w:space="0" w:color="auto"/>
            <w:bottom w:val="none" w:sz="0" w:space="0" w:color="auto"/>
            <w:right w:val="none" w:sz="0" w:space="0" w:color="auto"/>
          </w:divBdr>
        </w:div>
        <w:div w:id="129984283">
          <w:marLeft w:val="0"/>
          <w:marRight w:val="0"/>
          <w:marTop w:val="0"/>
          <w:marBottom w:val="0"/>
          <w:divBdr>
            <w:top w:val="none" w:sz="0" w:space="0" w:color="auto"/>
            <w:left w:val="none" w:sz="0" w:space="0" w:color="auto"/>
            <w:bottom w:val="none" w:sz="0" w:space="0" w:color="auto"/>
            <w:right w:val="none" w:sz="0" w:space="0" w:color="auto"/>
          </w:divBdr>
        </w:div>
        <w:div w:id="479032050">
          <w:marLeft w:val="0"/>
          <w:marRight w:val="0"/>
          <w:marTop w:val="0"/>
          <w:marBottom w:val="0"/>
          <w:divBdr>
            <w:top w:val="none" w:sz="0" w:space="0" w:color="auto"/>
            <w:left w:val="none" w:sz="0" w:space="0" w:color="auto"/>
            <w:bottom w:val="none" w:sz="0" w:space="0" w:color="auto"/>
            <w:right w:val="none" w:sz="0" w:space="0" w:color="auto"/>
          </w:divBdr>
        </w:div>
        <w:div w:id="1358311935">
          <w:marLeft w:val="0"/>
          <w:marRight w:val="0"/>
          <w:marTop w:val="0"/>
          <w:marBottom w:val="0"/>
          <w:divBdr>
            <w:top w:val="none" w:sz="0" w:space="0" w:color="auto"/>
            <w:left w:val="none" w:sz="0" w:space="0" w:color="auto"/>
            <w:bottom w:val="none" w:sz="0" w:space="0" w:color="auto"/>
            <w:right w:val="none" w:sz="0" w:space="0" w:color="auto"/>
          </w:divBdr>
        </w:div>
        <w:div w:id="196167088">
          <w:marLeft w:val="0"/>
          <w:marRight w:val="0"/>
          <w:marTop w:val="0"/>
          <w:marBottom w:val="0"/>
          <w:divBdr>
            <w:top w:val="none" w:sz="0" w:space="0" w:color="auto"/>
            <w:left w:val="none" w:sz="0" w:space="0" w:color="auto"/>
            <w:bottom w:val="none" w:sz="0" w:space="0" w:color="auto"/>
            <w:right w:val="none" w:sz="0" w:space="0" w:color="auto"/>
          </w:divBdr>
        </w:div>
        <w:div w:id="248344618">
          <w:marLeft w:val="0"/>
          <w:marRight w:val="0"/>
          <w:marTop w:val="0"/>
          <w:marBottom w:val="0"/>
          <w:divBdr>
            <w:top w:val="none" w:sz="0" w:space="0" w:color="auto"/>
            <w:left w:val="none" w:sz="0" w:space="0" w:color="auto"/>
            <w:bottom w:val="none" w:sz="0" w:space="0" w:color="auto"/>
            <w:right w:val="none" w:sz="0" w:space="0" w:color="auto"/>
          </w:divBdr>
        </w:div>
        <w:div w:id="356546674">
          <w:marLeft w:val="0"/>
          <w:marRight w:val="0"/>
          <w:marTop w:val="0"/>
          <w:marBottom w:val="0"/>
          <w:divBdr>
            <w:top w:val="none" w:sz="0" w:space="0" w:color="auto"/>
            <w:left w:val="none" w:sz="0" w:space="0" w:color="auto"/>
            <w:bottom w:val="none" w:sz="0" w:space="0" w:color="auto"/>
            <w:right w:val="none" w:sz="0" w:space="0" w:color="auto"/>
          </w:divBdr>
        </w:div>
        <w:div w:id="1738211949">
          <w:marLeft w:val="0"/>
          <w:marRight w:val="0"/>
          <w:marTop w:val="0"/>
          <w:marBottom w:val="0"/>
          <w:divBdr>
            <w:top w:val="none" w:sz="0" w:space="0" w:color="auto"/>
            <w:left w:val="none" w:sz="0" w:space="0" w:color="auto"/>
            <w:bottom w:val="none" w:sz="0" w:space="0" w:color="auto"/>
            <w:right w:val="none" w:sz="0" w:space="0" w:color="auto"/>
          </w:divBdr>
        </w:div>
        <w:div w:id="478308419">
          <w:marLeft w:val="0"/>
          <w:marRight w:val="0"/>
          <w:marTop w:val="0"/>
          <w:marBottom w:val="0"/>
          <w:divBdr>
            <w:top w:val="none" w:sz="0" w:space="0" w:color="auto"/>
            <w:left w:val="none" w:sz="0" w:space="0" w:color="auto"/>
            <w:bottom w:val="none" w:sz="0" w:space="0" w:color="auto"/>
            <w:right w:val="none" w:sz="0" w:space="0" w:color="auto"/>
          </w:divBdr>
        </w:div>
        <w:div w:id="1920167120">
          <w:marLeft w:val="0"/>
          <w:marRight w:val="0"/>
          <w:marTop w:val="0"/>
          <w:marBottom w:val="0"/>
          <w:divBdr>
            <w:top w:val="none" w:sz="0" w:space="0" w:color="auto"/>
            <w:left w:val="none" w:sz="0" w:space="0" w:color="auto"/>
            <w:bottom w:val="none" w:sz="0" w:space="0" w:color="auto"/>
            <w:right w:val="none" w:sz="0" w:space="0" w:color="auto"/>
          </w:divBdr>
        </w:div>
        <w:div w:id="24596598">
          <w:marLeft w:val="0"/>
          <w:marRight w:val="0"/>
          <w:marTop w:val="0"/>
          <w:marBottom w:val="0"/>
          <w:divBdr>
            <w:top w:val="none" w:sz="0" w:space="0" w:color="auto"/>
            <w:left w:val="none" w:sz="0" w:space="0" w:color="auto"/>
            <w:bottom w:val="none" w:sz="0" w:space="0" w:color="auto"/>
            <w:right w:val="none" w:sz="0" w:space="0" w:color="auto"/>
          </w:divBdr>
        </w:div>
        <w:div w:id="1452361145">
          <w:marLeft w:val="0"/>
          <w:marRight w:val="0"/>
          <w:marTop w:val="0"/>
          <w:marBottom w:val="0"/>
          <w:divBdr>
            <w:top w:val="none" w:sz="0" w:space="0" w:color="auto"/>
            <w:left w:val="none" w:sz="0" w:space="0" w:color="auto"/>
            <w:bottom w:val="none" w:sz="0" w:space="0" w:color="auto"/>
            <w:right w:val="none" w:sz="0" w:space="0" w:color="auto"/>
          </w:divBdr>
        </w:div>
        <w:div w:id="1980181191">
          <w:marLeft w:val="0"/>
          <w:marRight w:val="0"/>
          <w:marTop w:val="0"/>
          <w:marBottom w:val="0"/>
          <w:divBdr>
            <w:top w:val="none" w:sz="0" w:space="0" w:color="auto"/>
            <w:left w:val="none" w:sz="0" w:space="0" w:color="auto"/>
            <w:bottom w:val="none" w:sz="0" w:space="0" w:color="auto"/>
            <w:right w:val="none" w:sz="0" w:space="0" w:color="auto"/>
          </w:divBdr>
        </w:div>
        <w:div w:id="467433872">
          <w:marLeft w:val="0"/>
          <w:marRight w:val="0"/>
          <w:marTop w:val="0"/>
          <w:marBottom w:val="0"/>
          <w:divBdr>
            <w:top w:val="none" w:sz="0" w:space="0" w:color="auto"/>
            <w:left w:val="none" w:sz="0" w:space="0" w:color="auto"/>
            <w:bottom w:val="none" w:sz="0" w:space="0" w:color="auto"/>
            <w:right w:val="none" w:sz="0" w:space="0" w:color="auto"/>
          </w:divBdr>
        </w:div>
        <w:div w:id="1135290119">
          <w:marLeft w:val="0"/>
          <w:marRight w:val="0"/>
          <w:marTop w:val="0"/>
          <w:marBottom w:val="0"/>
          <w:divBdr>
            <w:top w:val="none" w:sz="0" w:space="0" w:color="auto"/>
            <w:left w:val="none" w:sz="0" w:space="0" w:color="auto"/>
            <w:bottom w:val="none" w:sz="0" w:space="0" w:color="auto"/>
            <w:right w:val="none" w:sz="0" w:space="0" w:color="auto"/>
          </w:divBdr>
        </w:div>
        <w:div w:id="1577667230">
          <w:marLeft w:val="0"/>
          <w:marRight w:val="0"/>
          <w:marTop w:val="0"/>
          <w:marBottom w:val="0"/>
          <w:divBdr>
            <w:top w:val="none" w:sz="0" w:space="0" w:color="auto"/>
            <w:left w:val="none" w:sz="0" w:space="0" w:color="auto"/>
            <w:bottom w:val="none" w:sz="0" w:space="0" w:color="auto"/>
            <w:right w:val="none" w:sz="0" w:space="0" w:color="auto"/>
          </w:divBdr>
        </w:div>
        <w:div w:id="631519112">
          <w:marLeft w:val="0"/>
          <w:marRight w:val="0"/>
          <w:marTop w:val="0"/>
          <w:marBottom w:val="0"/>
          <w:divBdr>
            <w:top w:val="none" w:sz="0" w:space="0" w:color="auto"/>
            <w:left w:val="none" w:sz="0" w:space="0" w:color="auto"/>
            <w:bottom w:val="none" w:sz="0" w:space="0" w:color="auto"/>
            <w:right w:val="none" w:sz="0" w:space="0" w:color="auto"/>
          </w:divBdr>
        </w:div>
        <w:div w:id="1915774424">
          <w:marLeft w:val="0"/>
          <w:marRight w:val="0"/>
          <w:marTop w:val="0"/>
          <w:marBottom w:val="0"/>
          <w:divBdr>
            <w:top w:val="none" w:sz="0" w:space="0" w:color="auto"/>
            <w:left w:val="none" w:sz="0" w:space="0" w:color="auto"/>
            <w:bottom w:val="none" w:sz="0" w:space="0" w:color="auto"/>
            <w:right w:val="none" w:sz="0" w:space="0" w:color="auto"/>
          </w:divBdr>
        </w:div>
        <w:div w:id="858154601">
          <w:marLeft w:val="0"/>
          <w:marRight w:val="0"/>
          <w:marTop w:val="0"/>
          <w:marBottom w:val="0"/>
          <w:divBdr>
            <w:top w:val="none" w:sz="0" w:space="0" w:color="auto"/>
            <w:left w:val="none" w:sz="0" w:space="0" w:color="auto"/>
            <w:bottom w:val="none" w:sz="0" w:space="0" w:color="auto"/>
            <w:right w:val="none" w:sz="0" w:space="0" w:color="auto"/>
          </w:divBdr>
        </w:div>
        <w:div w:id="1732733379">
          <w:marLeft w:val="0"/>
          <w:marRight w:val="0"/>
          <w:marTop w:val="0"/>
          <w:marBottom w:val="0"/>
          <w:divBdr>
            <w:top w:val="none" w:sz="0" w:space="0" w:color="auto"/>
            <w:left w:val="none" w:sz="0" w:space="0" w:color="auto"/>
            <w:bottom w:val="none" w:sz="0" w:space="0" w:color="auto"/>
            <w:right w:val="none" w:sz="0" w:space="0" w:color="auto"/>
          </w:divBdr>
        </w:div>
        <w:div w:id="222836114">
          <w:marLeft w:val="0"/>
          <w:marRight w:val="0"/>
          <w:marTop w:val="0"/>
          <w:marBottom w:val="0"/>
          <w:divBdr>
            <w:top w:val="none" w:sz="0" w:space="0" w:color="auto"/>
            <w:left w:val="none" w:sz="0" w:space="0" w:color="auto"/>
            <w:bottom w:val="none" w:sz="0" w:space="0" w:color="auto"/>
            <w:right w:val="none" w:sz="0" w:space="0" w:color="auto"/>
          </w:divBdr>
        </w:div>
        <w:div w:id="1260525057">
          <w:marLeft w:val="0"/>
          <w:marRight w:val="0"/>
          <w:marTop w:val="0"/>
          <w:marBottom w:val="0"/>
          <w:divBdr>
            <w:top w:val="none" w:sz="0" w:space="0" w:color="auto"/>
            <w:left w:val="none" w:sz="0" w:space="0" w:color="auto"/>
            <w:bottom w:val="none" w:sz="0" w:space="0" w:color="auto"/>
            <w:right w:val="none" w:sz="0" w:space="0" w:color="auto"/>
          </w:divBdr>
        </w:div>
        <w:div w:id="618535055">
          <w:marLeft w:val="0"/>
          <w:marRight w:val="0"/>
          <w:marTop w:val="0"/>
          <w:marBottom w:val="0"/>
          <w:divBdr>
            <w:top w:val="none" w:sz="0" w:space="0" w:color="auto"/>
            <w:left w:val="none" w:sz="0" w:space="0" w:color="auto"/>
            <w:bottom w:val="none" w:sz="0" w:space="0" w:color="auto"/>
            <w:right w:val="none" w:sz="0" w:space="0" w:color="auto"/>
          </w:divBdr>
        </w:div>
        <w:div w:id="973831083">
          <w:marLeft w:val="0"/>
          <w:marRight w:val="0"/>
          <w:marTop w:val="0"/>
          <w:marBottom w:val="0"/>
          <w:divBdr>
            <w:top w:val="none" w:sz="0" w:space="0" w:color="auto"/>
            <w:left w:val="none" w:sz="0" w:space="0" w:color="auto"/>
            <w:bottom w:val="none" w:sz="0" w:space="0" w:color="auto"/>
            <w:right w:val="none" w:sz="0" w:space="0" w:color="auto"/>
          </w:divBdr>
        </w:div>
        <w:div w:id="2124183827">
          <w:marLeft w:val="0"/>
          <w:marRight w:val="0"/>
          <w:marTop w:val="0"/>
          <w:marBottom w:val="0"/>
          <w:divBdr>
            <w:top w:val="none" w:sz="0" w:space="0" w:color="auto"/>
            <w:left w:val="none" w:sz="0" w:space="0" w:color="auto"/>
            <w:bottom w:val="none" w:sz="0" w:space="0" w:color="auto"/>
            <w:right w:val="none" w:sz="0" w:space="0" w:color="auto"/>
          </w:divBdr>
        </w:div>
        <w:div w:id="1899389371">
          <w:marLeft w:val="0"/>
          <w:marRight w:val="0"/>
          <w:marTop w:val="0"/>
          <w:marBottom w:val="0"/>
          <w:divBdr>
            <w:top w:val="none" w:sz="0" w:space="0" w:color="auto"/>
            <w:left w:val="none" w:sz="0" w:space="0" w:color="auto"/>
            <w:bottom w:val="none" w:sz="0" w:space="0" w:color="auto"/>
            <w:right w:val="none" w:sz="0" w:space="0" w:color="auto"/>
          </w:divBdr>
        </w:div>
        <w:div w:id="1465154529">
          <w:marLeft w:val="0"/>
          <w:marRight w:val="0"/>
          <w:marTop w:val="0"/>
          <w:marBottom w:val="0"/>
          <w:divBdr>
            <w:top w:val="none" w:sz="0" w:space="0" w:color="auto"/>
            <w:left w:val="none" w:sz="0" w:space="0" w:color="auto"/>
            <w:bottom w:val="none" w:sz="0" w:space="0" w:color="auto"/>
            <w:right w:val="none" w:sz="0" w:space="0" w:color="auto"/>
          </w:divBdr>
        </w:div>
        <w:div w:id="81682662">
          <w:marLeft w:val="0"/>
          <w:marRight w:val="0"/>
          <w:marTop w:val="0"/>
          <w:marBottom w:val="0"/>
          <w:divBdr>
            <w:top w:val="none" w:sz="0" w:space="0" w:color="auto"/>
            <w:left w:val="none" w:sz="0" w:space="0" w:color="auto"/>
            <w:bottom w:val="none" w:sz="0" w:space="0" w:color="auto"/>
            <w:right w:val="none" w:sz="0" w:space="0" w:color="auto"/>
          </w:divBdr>
        </w:div>
        <w:div w:id="2041710032">
          <w:marLeft w:val="0"/>
          <w:marRight w:val="0"/>
          <w:marTop w:val="0"/>
          <w:marBottom w:val="0"/>
          <w:divBdr>
            <w:top w:val="none" w:sz="0" w:space="0" w:color="auto"/>
            <w:left w:val="none" w:sz="0" w:space="0" w:color="auto"/>
            <w:bottom w:val="none" w:sz="0" w:space="0" w:color="auto"/>
            <w:right w:val="none" w:sz="0" w:space="0" w:color="auto"/>
          </w:divBdr>
        </w:div>
        <w:div w:id="407535195">
          <w:marLeft w:val="0"/>
          <w:marRight w:val="0"/>
          <w:marTop w:val="0"/>
          <w:marBottom w:val="0"/>
          <w:divBdr>
            <w:top w:val="none" w:sz="0" w:space="0" w:color="auto"/>
            <w:left w:val="none" w:sz="0" w:space="0" w:color="auto"/>
            <w:bottom w:val="none" w:sz="0" w:space="0" w:color="auto"/>
            <w:right w:val="none" w:sz="0" w:space="0" w:color="auto"/>
          </w:divBdr>
        </w:div>
        <w:div w:id="131291766">
          <w:marLeft w:val="0"/>
          <w:marRight w:val="0"/>
          <w:marTop w:val="0"/>
          <w:marBottom w:val="0"/>
          <w:divBdr>
            <w:top w:val="none" w:sz="0" w:space="0" w:color="auto"/>
            <w:left w:val="none" w:sz="0" w:space="0" w:color="auto"/>
            <w:bottom w:val="none" w:sz="0" w:space="0" w:color="auto"/>
            <w:right w:val="none" w:sz="0" w:space="0" w:color="auto"/>
          </w:divBdr>
        </w:div>
        <w:div w:id="2054958483">
          <w:marLeft w:val="0"/>
          <w:marRight w:val="0"/>
          <w:marTop w:val="0"/>
          <w:marBottom w:val="0"/>
          <w:divBdr>
            <w:top w:val="none" w:sz="0" w:space="0" w:color="auto"/>
            <w:left w:val="none" w:sz="0" w:space="0" w:color="auto"/>
            <w:bottom w:val="none" w:sz="0" w:space="0" w:color="auto"/>
            <w:right w:val="none" w:sz="0" w:space="0" w:color="auto"/>
          </w:divBdr>
        </w:div>
        <w:div w:id="2053187954">
          <w:marLeft w:val="0"/>
          <w:marRight w:val="0"/>
          <w:marTop w:val="0"/>
          <w:marBottom w:val="0"/>
          <w:divBdr>
            <w:top w:val="none" w:sz="0" w:space="0" w:color="auto"/>
            <w:left w:val="none" w:sz="0" w:space="0" w:color="auto"/>
            <w:bottom w:val="none" w:sz="0" w:space="0" w:color="auto"/>
            <w:right w:val="none" w:sz="0" w:space="0" w:color="auto"/>
          </w:divBdr>
        </w:div>
        <w:div w:id="12650632">
          <w:marLeft w:val="0"/>
          <w:marRight w:val="0"/>
          <w:marTop w:val="0"/>
          <w:marBottom w:val="0"/>
          <w:divBdr>
            <w:top w:val="none" w:sz="0" w:space="0" w:color="auto"/>
            <w:left w:val="none" w:sz="0" w:space="0" w:color="auto"/>
            <w:bottom w:val="none" w:sz="0" w:space="0" w:color="auto"/>
            <w:right w:val="none" w:sz="0" w:space="0" w:color="auto"/>
          </w:divBdr>
        </w:div>
        <w:div w:id="1542789999">
          <w:marLeft w:val="0"/>
          <w:marRight w:val="0"/>
          <w:marTop w:val="0"/>
          <w:marBottom w:val="0"/>
          <w:divBdr>
            <w:top w:val="none" w:sz="0" w:space="0" w:color="auto"/>
            <w:left w:val="none" w:sz="0" w:space="0" w:color="auto"/>
            <w:bottom w:val="none" w:sz="0" w:space="0" w:color="auto"/>
            <w:right w:val="none" w:sz="0" w:space="0" w:color="auto"/>
          </w:divBdr>
        </w:div>
        <w:div w:id="2063627149">
          <w:marLeft w:val="0"/>
          <w:marRight w:val="0"/>
          <w:marTop w:val="0"/>
          <w:marBottom w:val="0"/>
          <w:divBdr>
            <w:top w:val="none" w:sz="0" w:space="0" w:color="auto"/>
            <w:left w:val="none" w:sz="0" w:space="0" w:color="auto"/>
            <w:bottom w:val="none" w:sz="0" w:space="0" w:color="auto"/>
            <w:right w:val="none" w:sz="0" w:space="0" w:color="auto"/>
          </w:divBdr>
        </w:div>
        <w:div w:id="117919286">
          <w:marLeft w:val="0"/>
          <w:marRight w:val="0"/>
          <w:marTop w:val="0"/>
          <w:marBottom w:val="0"/>
          <w:divBdr>
            <w:top w:val="none" w:sz="0" w:space="0" w:color="auto"/>
            <w:left w:val="none" w:sz="0" w:space="0" w:color="auto"/>
            <w:bottom w:val="none" w:sz="0" w:space="0" w:color="auto"/>
            <w:right w:val="none" w:sz="0" w:space="0" w:color="auto"/>
          </w:divBdr>
        </w:div>
        <w:div w:id="428039640">
          <w:marLeft w:val="0"/>
          <w:marRight w:val="0"/>
          <w:marTop w:val="0"/>
          <w:marBottom w:val="0"/>
          <w:divBdr>
            <w:top w:val="none" w:sz="0" w:space="0" w:color="auto"/>
            <w:left w:val="none" w:sz="0" w:space="0" w:color="auto"/>
            <w:bottom w:val="none" w:sz="0" w:space="0" w:color="auto"/>
            <w:right w:val="none" w:sz="0" w:space="0" w:color="auto"/>
          </w:divBdr>
        </w:div>
        <w:div w:id="1403673530">
          <w:marLeft w:val="0"/>
          <w:marRight w:val="0"/>
          <w:marTop w:val="0"/>
          <w:marBottom w:val="0"/>
          <w:divBdr>
            <w:top w:val="none" w:sz="0" w:space="0" w:color="auto"/>
            <w:left w:val="none" w:sz="0" w:space="0" w:color="auto"/>
            <w:bottom w:val="none" w:sz="0" w:space="0" w:color="auto"/>
            <w:right w:val="none" w:sz="0" w:space="0" w:color="auto"/>
          </w:divBdr>
        </w:div>
        <w:div w:id="424228271">
          <w:marLeft w:val="0"/>
          <w:marRight w:val="0"/>
          <w:marTop w:val="0"/>
          <w:marBottom w:val="0"/>
          <w:divBdr>
            <w:top w:val="none" w:sz="0" w:space="0" w:color="auto"/>
            <w:left w:val="none" w:sz="0" w:space="0" w:color="auto"/>
            <w:bottom w:val="none" w:sz="0" w:space="0" w:color="auto"/>
            <w:right w:val="none" w:sz="0" w:space="0" w:color="auto"/>
          </w:divBdr>
        </w:div>
        <w:div w:id="232008364">
          <w:marLeft w:val="0"/>
          <w:marRight w:val="0"/>
          <w:marTop w:val="0"/>
          <w:marBottom w:val="0"/>
          <w:divBdr>
            <w:top w:val="none" w:sz="0" w:space="0" w:color="auto"/>
            <w:left w:val="none" w:sz="0" w:space="0" w:color="auto"/>
            <w:bottom w:val="none" w:sz="0" w:space="0" w:color="auto"/>
            <w:right w:val="none" w:sz="0" w:space="0" w:color="auto"/>
          </w:divBdr>
        </w:div>
        <w:div w:id="617029111">
          <w:marLeft w:val="0"/>
          <w:marRight w:val="0"/>
          <w:marTop w:val="0"/>
          <w:marBottom w:val="0"/>
          <w:divBdr>
            <w:top w:val="none" w:sz="0" w:space="0" w:color="auto"/>
            <w:left w:val="none" w:sz="0" w:space="0" w:color="auto"/>
            <w:bottom w:val="none" w:sz="0" w:space="0" w:color="auto"/>
            <w:right w:val="none" w:sz="0" w:space="0" w:color="auto"/>
          </w:divBdr>
        </w:div>
        <w:div w:id="238635754">
          <w:marLeft w:val="0"/>
          <w:marRight w:val="0"/>
          <w:marTop w:val="0"/>
          <w:marBottom w:val="0"/>
          <w:divBdr>
            <w:top w:val="none" w:sz="0" w:space="0" w:color="auto"/>
            <w:left w:val="none" w:sz="0" w:space="0" w:color="auto"/>
            <w:bottom w:val="none" w:sz="0" w:space="0" w:color="auto"/>
            <w:right w:val="none" w:sz="0" w:space="0" w:color="auto"/>
          </w:divBdr>
        </w:div>
        <w:div w:id="70666978">
          <w:marLeft w:val="0"/>
          <w:marRight w:val="0"/>
          <w:marTop w:val="0"/>
          <w:marBottom w:val="0"/>
          <w:divBdr>
            <w:top w:val="none" w:sz="0" w:space="0" w:color="auto"/>
            <w:left w:val="none" w:sz="0" w:space="0" w:color="auto"/>
            <w:bottom w:val="none" w:sz="0" w:space="0" w:color="auto"/>
            <w:right w:val="none" w:sz="0" w:space="0" w:color="auto"/>
          </w:divBdr>
        </w:div>
        <w:div w:id="1267154892">
          <w:marLeft w:val="0"/>
          <w:marRight w:val="0"/>
          <w:marTop w:val="0"/>
          <w:marBottom w:val="0"/>
          <w:divBdr>
            <w:top w:val="none" w:sz="0" w:space="0" w:color="auto"/>
            <w:left w:val="none" w:sz="0" w:space="0" w:color="auto"/>
            <w:bottom w:val="none" w:sz="0" w:space="0" w:color="auto"/>
            <w:right w:val="none" w:sz="0" w:space="0" w:color="auto"/>
          </w:divBdr>
        </w:div>
        <w:div w:id="141046025">
          <w:marLeft w:val="0"/>
          <w:marRight w:val="0"/>
          <w:marTop w:val="0"/>
          <w:marBottom w:val="0"/>
          <w:divBdr>
            <w:top w:val="none" w:sz="0" w:space="0" w:color="auto"/>
            <w:left w:val="none" w:sz="0" w:space="0" w:color="auto"/>
            <w:bottom w:val="none" w:sz="0" w:space="0" w:color="auto"/>
            <w:right w:val="none" w:sz="0" w:space="0" w:color="auto"/>
          </w:divBdr>
        </w:div>
        <w:div w:id="773868306">
          <w:marLeft w:val="0"/>
          <w:marRight w:val="0"/>
          <w:marTop w:val="0"/>
          <w:marBottom w:val="0"/>
          <w:divBdr>
            <w:top w:val="none" w:sz="0" w:space="0" w:color="auto"/>
            <w:left w:val="none" w:sz="0" w:space="0" w:color="auto"/>
            <w:bottom w:val="none" w:sz="0" w:space="0" w:color="auto"/>
            <w:right w:val="none" w:sz="0" w:space="0" w:color="auto"/>
          </w:divBdr>
        </w:div>
        <w:div w:id="12728083">
          <w:marLeft w:val="0"/>
          <w:marRight w:val="0"/>
          <w:marTop w:val="0"/>
          <w:marBottom w:val="0"/>
          <w:divBdr>
            <w:top w:val="none" w:sz="0" w:space="0" w:color="auto"/>
            <w:left w:val="none" w:sz="0" w:space="0" w:color="auto"/>
            <w:bottom w:val="none" w:sz="0" w:space="0" w:color="auto"/>
            <w:right w:val="none" w:sz="0" w:space="0" w:color="auto"/>
          </w:divBdr>
        </w:div>
        <w:div w:id="1602838108">
          <w:marLeft w:val="0"/>
          <w:marRight w:val="0"/>
          <w:marTop w:val="0"/>
          <w:marBottom w:val="0"/>
          <w:divBdr>
            <w:top w:val="none" w:sz="0" w:space="0" w:color="auto"/>
            <w:left w:val="none" w:sz="0" w:space="0" w:color="auto"/>
            <w:bottom w:val="none" w:sz="0" w:space="0" w:color="auto"/>
            <w:right w:val="none" w:sz="0" w:space="0" w:color="auto"/>
          </w:divBdr>
        </w:div>
        <w:div w:id="9987867">
          <w:marLeft w:val="0"/>
          <w:marRight w:val="0"/>
          <w:marTop w:val="0"/>
          <w:marBottom w:val="0"/>
          <w:divBdr>
            <w:top w:val="none" w:sz="0" w:space="0" w:color="auto"/>
            <w:left w:val="none" w:sz="0" w:space="0" w:color="auto"/>
            <w:bottom w:val="none" w:sz="0" w:space="0" w:color="auto"/>
            <w:right w:val="none" w:sz="0" w:space="0" w:color="auto"/>
          </w:divBdr>
        </w:div>
      </w:divsChild>
    </w:div>
    <w:div w:id="743718237">
      <w:bodyDiv w:val="1"/>
      <w:marLeft w:val="0"/>
      <w:marRight w:val="0"/>
      <w:marTop w:val="0"/>
      <w:marBottom w:val="0"/>
      <w:divBdr>
        <w:top w:val="none" w:sz="0" w:space="0" w:color="auto"/>
        <w:left w:val="none" w:sz="0" w:space="0" w:color="auto"/>
        <w:bottom w:val="none" w:sz="0" w:space="0" w:color="auto"/>
        <w:right w:val="none" w:sz="0" w:space="0" w:color="auto"/>
      </w:divBdr>
    </w:div>
    <w:div w:id="747532202">
      <w:bodyDiv w:val="1"/>
      <w:marLeft w:val="0"/>
      <w:marRight w:val="0"/>
      <w:marTop w:val="0"/>
      <w:marBottom w:val="0"/>
      <w:divBdr>
        <w:top w:val="none" w:sz="0" w:space="0" w:color="auto"/>
        <w:left w:val="none" w:sz="0" w:space="0" w:color="auto"/>
        <w:bottom w:val="none" w:sz="0" w:space="0" w:color="auto"/>
        <w:right w:val="none" w:sz="0" w:space="0" w:color="auto"/>
      </w:divBdr>
    </w:div>
    <w:div w:id="751581138">
      <w:bodyDiv w:val="1"/>
      <w:marLeft w:val="0"/>
      <w:marRight w:val="0"/>
      <w:marTop w:val="0"/>
      <w:marBottom w:val="0"/>
      <w:divBdr>
        <w:top w:val="none" w:sz="0" w:space="0" w:color="auto"/>
        <w:left w:val="none" w:sz="0" w:space="0" w:color="auto"/>
        <w:bottom w:val="none" w:sz="0" w:space="0" w:color="auto"/>
        <w:right w:val="none" w:sz="0" w:space="0" w:color="auto"/>
      </w:divBdr>
    </w:div>
    <w:div w:id="758063069">
      <w:bodyDiv w:val="1"/>
      <w:marLeft w:val="0"/>
      <w:marRight w:val="0"/>
      <w:marTop w:val="0"/>
      <w:marBottom w:val="0"/>
      <w:divBdr>
        <w:top w:val="none" w:sz="0" w:space="0" w:color="auto"/>
        <w:left w:val="none" w:sz="0" w:space="0" w:color="auto"/>
        <w:bottom w:val="none" w:sz="0" w:space="0" w:color="auto"/>
        <w:right w:val="none" w:sz="0" w:space="0" w:color="auto"/>
      </w:divBdr>
    </w:div>
    <w:div w:id="762729353">
      <w:bodyDiv w:val="1"/>
      <w:marLeft w:val="0"/>
      <w:marRight w:val="0"/>
      <w:marTop w:val="0"/>
      <w:marBottom w:val="0"/>
      <w:divBdr>
        <w:top w:val="none" w:sz="0" w:space="0" w:color="auto"/>
        <w:left w:val="none" w:sz="0" w:space="0" w:color="auto"/>
        <w:bottom w:val="none" w:sz="0" w:space="0" w:color="auto"/>
        <w:right w:val="none" w:sz="0" w:space="0" w:color="auto"/>
      </w:divBdr>
    </w:div>
    <w:div w:id="766998660">
      <w:bodyDiv w:val="1"/>
      <w:marLeft w:val="0"/>
      <w:marRight w:val="0"/>
      <w:marTop w:val="0"/>
      <w:marBottom w:val="0"/>
      <w:divBdr>
        <w:top w:val="none" w:sz="0" w:space="0" w:color="auto"/>
        <w:left w:val="none" w:sz="0" w:space="0" w:color="auto"/>
        <w:bottom w:val="none" w:sz="0" w:space="0" w:color="auto"/>
        <w:right w:val="none" w:sz="0" w:space="0" w:color="auto"/>
      </w:divBdr>
      <w:divsChild>
        <w:div w:id="225772312">
          <w:marLeft w:val="0"/>
          <w:marRight w:val="0"/>
          <w:marTop w:val="150"/>
          <w:marBottom w:val="0"/>
          <w:divBdr>
            <w:top w:val="none" w:sz="0" w:space="0" w:color="auto"/>
            <w:left w:val="none" w:sz="0" w:space="0" w:color="auto"/>
            <w:bottom w:val="none" w:sz="0" w:space="0" w:color="auto"/>
            <w:right w:val="none" w:sz="0" w:space="0" w:color="auto"/>
          </w:divBdr>
        </w:div>
      </w:divsChild>
    </w:div>
    <w:div w:id="768087733">
      <w:bodyDiv w:val="1"/>
      <w:marLeft w:val="0"/>
      <w:marRight w:val="0"/>
      <w:marTop w:val="0"/>
      <w:marBottom w:val="0"/>
      <w:divBdr>
        <w:top w:val="none" w:sz="0" w:space="0" w:color="auto"/>
        <w:left w:val="none" w:sz="0" w:space="0" w:color="auto"/>
        <w:bottom w:val="none" w:sz="0" w:space="0" w:color="auto"/>
        <w:right w:val="none" w:sz="0" w:space="0" w:color="auto"/>
      </w:divBdr>
    </w:div>
    <w:div w:id="778335682">
      <w:bodyDiv w:val="1"/>
      <w:marLeft w:val="0"/>
      <w:marRight w:val="0"/>
      <w:marTop w:val="0"/>
      <w:marBottom w:val="0"/>
      <w:divBdr>
        <w:top w:val="none" w:sz="0" w:space="0" w:color="auto"/>
        <w:left w:val="none" w:sz="0" w:space="0" w:color="auto"/>
        <w:bottom w:val="none" w:sz="0" w:space="0" w:color="auto"/>
        <w:right w:val="none" w:sz="0" w:space="0" w:color="auto"/>
      </w:divBdr>
    </w:div>
    <w:div w:id="783842014">
      <w:bodyDiv w:val="1"/>
      <w:marLeft w:val="0"/>
      <w:marRight w:val="0"/>
      <w:marTop w:val="0"/>
      <w:marBottom w:val="0"/>
      <w:divBdr>
        <w:top w:val="none" w:sz="0" w:space="0" w:color="auto"/>
        <w:left w:val="none" w:sz="0" w:space="0" w:color="auto"/>
        <w:bottom w:val="none" w:sz="0" w:space="0" w:color="auto"/>
        <w:right w:val="none" w:sz="0" w:space="0" w:color="auto"/>
      </w:divBdr>
    </w:div>
    <w:div w:id="784544258">
      <w:bodyDiv w:val="1"/>
      <w:marLeft w:val="0"/>
      <w:marRight w:val="0"/>
      <w:marTop w:val="0"/>
      <w:marBottom w:val="0"/>
      <w:divBdr>
        <w:top w:val="none" w:sz="0" w:space="0" w:color="auto"/>
        <w:left w:val="none" w:sz="0" w:space="0" w:color="auto"/>
        <w:bottom w:val="none" w:sz="0" w:space="0" w:color="auto"/>
        <w:right w:val="none" w:sz="0" w:space="0" w:color="auto"/>
      </w:divBdr>
    </w:div>
    <w:div w:id="792094590">
      <w:bodyDiv w:val="1"/>
      <w:marLeft w:val="0"/>
      <w:marRight w:val="0"/>
      <w:marTop w:val="0"/>
      <w:marBottom w:val="0"/>
      <w:divBdr>
        <w:top w:val="none" w:sz="0" w:space="0" w:color="auto"/>
        <w:left w:val="none" w:sz="0" w:space="0" w:color="auto"/>
        <w:bottom w:val="none" w:sz="0" w:space="0" w:color="auto"/>
        <w:right w:val="none" w:sz="0" w:space="0" w:color="auto"/>
      </w:divBdr>
    </w:div>
    <w:div w:id="793134844">
      <w:bodyDiv w:val="1"/>
      <w:marLeft w:val="0"/>
      <w:marRight w:val="0"/>
      <w:marTop w:val="0"/>
      <w:marBottom w:val="0"/>
      <w:divBdr>
        <w:top w:val="none" w:sz="0" w:space="0" w:color="auto"/>
        <w:left w:val="none" w:sz="0" w:space="0" w:color="auto"/>
        <w:bottom w:val="none" w:sz="0" w:space="0" w:color="auto"/>
        <w:right w:val="none" w:sz="0" w:space="0" w:color="auto"/>
      </w:divBdr>
    </w:div>
    <w:div w:id="795415838">
      <w:bodyDiv w:val="1"/>
      <w:marLeft w:val="0"/>
      <w:marRight w:val="0"/>
      <w:marTop w:val="0"/>
      <w:marBottom w:val="0"/>
      <w:divBdr>
        <w:top w:val="none" w:sz="0" w:space="0" w:color="auto"/>
        <w:left w:val="none" w:sz="0" w:space="0" w:color="auto"/>
        <w:bottom w:val="none" w:sz="0" w:space="0" w:color="auto"/>
        <w:right w:val="none" w:sz="0" w:space="0" w:color="auto"/>
      </w:divBdr>
    </w:div>
    <w:div w:id="797602550">
      <w:bodyDiv w:val="1"/>
      <w:marLeft w:val="0"/>
      <w:marRight w:val="0"/>
      <w:marTop w:val="0"/>
      <w:marBottom w:val="0"/>
      <w:divBdr>
        <w:top w:val="none" w:sz="0" w:space="0" w:color="auto"/>
        <w:left w:val="none" w:sz="0" w:space="0" w:color="auto"/>
        <w:bottom w:val="none" w:sz="0" w:space="0" w:color="auto"/>
        <w:right w:val="none" w:sz="0" w:space="0" w:color="auto"/>
      </w:divBdr>
    </w:div>
    <w:div w:id="798959432">
      <w:bodyDiv w:val="1"/>
      <w:marLeft w:val="0"/>
      <w:marRight w:val="0"/>
      <w:marTop w:val="0"/>
      <w:marBottom w:val="0"/>
      <w:divBdr>
        <w:top w:val="none" w:sz="0" w:space="0" w:color="auto"/>
        <w:left w:val="none" w:sz="0" w:space="0" w:color="auto"/>
        <w:bottom w:val="none" w:sz="0" w:space="0" w:color="auto"/>
        <w:right w:val="none" w:sz="0" w:space="0" w:color="auto"/>
      </w:divBdr>
      <w:divsChild>
        <w:div w:id="1372263013">
          <w:marLeft w:val="1224"/>
          <w:marRight w:val="0"/>
          <w:marTop w:val="120"/>
          <w:marBottom w:val="120"/>
          <w:divBdr>
            <w:top w:val="none" w:sz="0" w:space="0" w:color="auto"/>
            <w:left w:val="none" w:sz="0" w:space="0" w:color="auto"/>
            <w:bottom w:val="none" w:sz="0" w:space="0" w:color="auto"/>
            <w:right w:val="none" w:sz="0" w:space="0" w:color="auto"/>
          </w:divBdr>
        </w:div>
      </w:divsChild>
    </w:div>
    <w:div w:id="829100828">
      <w:bodyDiv w:val="1"/>
      <w:marLeft w:val="0"/>
      <w:marRight w:val="0"/>
      <w:marTop w:val="0"/>
      <w:marBottom w:val="0"/>
      <w:divBdr>
        <w:top w:val="none" w:sz="0" w:space="0" w:color="auto"/>
        <w:left w:val="none" w:sz="0" w:space="0" w:color="auto"/>
        <w:bottom w:val="none" w:sz="0" w:space="0" w:color="auto"/>
        <w:right w:val="none" w:sz="0" w:space="0" w:color="auto"/>
      </w:divBdr>
    </w:div>
    <w:div w:id="830366219">
      <w:bodyDiv w:val="1"/>
      <w:marLeft w:val="0"/>
      <w:marRight w:val="0"/>
      <w:marTop w:val="0"/>
      <w:marBottom w:val="0"/>
      <w:divBdr>
        <w:top w:val="none" w:sz="0" w:space="0" w:color="auto"/>
        <w:left w:val="none" w:sz="0" w:space="0" w:color="auto"/>
        <w:bottom w:val="none" w:sz="0" w:space="0" w:color="auto"/>
        <w:right w:val="none" w:sz="0" w:space="0" w:color="auto"/>
      </w:divBdr>
    </w:div>
    <w:div w:id="837616036">
      <w:bodyDiv w:val="1"/>
      <w:marLeft w:val="0"/>
      <w:marRight w:val="0"/>
      <w:marTop w:val="0"/>
      <w:marBottom w:val="0"/>
      <w:divBdr>
        <w:top w:val="none" w:sz="0" w:space="0" w:color="auto"/>
        <w:left w:val="none" w:sz="0" w:space="0" w:color="auto"/>
        <w:bottom w:val="none" w:sz="0" w:space="0" w:color="auto"/>
        <w:right w:val="none" w:sz="0" w:space="0" w:color="auto"/>
      </w:divBdr>
    </w:div>
    <w:div w:id="839000515">
      <w:bodyDiv w:val="1"/>
      <w:marLeft w:val="0"/>
      <w:marRight w:val="0"/>
      <w:marTop w:val="0"/>
      <w:marBottom w:val="0"/>
      <w:divBdr>
        <w:top w:val="none" w:sz="0" w:space="0" w:color="auto"/>
        <w:left w:val="none" w:sz="0" w:space="0" w:color="auto"/>
        <w:bottom w:val="none" w:sz="0" w:space="0" w:color="auto"/>
        <w:right w:val="none" w:sz="0" w:space="0" w:color="auto"/>
      </w:divBdr>
    </w:div>
    <w:div w:id="848566957">
      <w:bodyDiv w:val="1"/>
      <w:marLeft w:val="0"/>
      <w:marRight w:val="0"/>
      <w:marTop w:val="0"/>
      <w:marBottom w:val="0"/>
      <w:divBdr>
        <w:top w:val="none" w:sz="0" w:space="0" w:color="auto"/>
        <w:left w:val="none" w:sz="0" w:space="0" w:color="auto"/>
        <w:bottom w:val="none" w:sz="0" w:space="0" w:color="auto"/>
        <w:right w:val="none" w:sz="0" w:space="0" w:color="auto"/>
      </w:divBdr>
      <w:divsChild>
        <w:div w:id="1728795653">
          <w:marLeft w:val="0"/>
          <w:marRight w:val="0"/>
          <w:marTop w:val="120"/>
          <w:marBottom w:val="0"/>
          <w:divBdr>
            <w:top w:val="none" w:sz="0" w:space="0" w:color="auto"/>
            <w:left w:val="none" w:sz="0" w:space="0" w:color="auto"/>
            <w:bottom w:val="none" w:sz="0" w:space="0" w:color="auto"/>
            <w:right w:val="none" w:sz="0" w:space="0" w:color="auto"/>
          </w:divBdr>
          <w:divsChild>
            <w:div w:id="1877497534">
              <w:marLeft w:val="0"/>
              <w:marRight w:val="0"/>
              <w:marTop w:val="0"/>
              <w:marBottom w:val="0"/>
              <w:divBdr>
                <w:top w:val="none" w:sz="0" w:space="0" w:color="auto"/>
                <w:left w:val="none" w:sz="0" w:space="0" w:color="auto"/>
                <w:bottom w:val="none" w:sz="0" w:space="0" w:color="auto"/>
                <w:right w:val="none" w:sz="0" w:space="0" w:color="auto"/>
              </w:divBdr>
            </w:div>
          </w:divsChild>
        </w:div>
        <w:div w:id="2144469200">
          <w:marLeft w:val="0"/>
          <w:marRight w:val="0"/>
          <w:marTop w:val="120"/>
          <w:marBottom w:val="0"/>
          <w:divBdr>
            <w:top w:val="none" w:sz="0" w:space="0" w:color="auto"/>
            <w:left w:val="none" w:sz="0" w:space="0" w:color="auto"/>
            <w:bottom w:val="none" w:sz="0" w:space="0" w:color="auto"/>
            <w:right w:val="none" w:sz="0" w:space="0" w:color="auto"/>
          </w:divBdr>
          <w:divsChild>
            <w:div w:id="17019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51006">
      <w:bodyDiv w:val="1"/>
      <w:marLeft w:val="0"/>
      <w:marRight w:val="0"/>
      <w:marTop w:val="0"/>
      <w:marBottom w:val="0"/>
      <w:divBdr>
        <w:top w:val="none" w:sz="0" w:space="0" w:color="auto"/>
        <w:left w:val="none" w:sz="0" w:space="0" w:color="auto"/>
        <w:bottom w:val="none" w:sz="0" w:space="0" w:color="auto"/>
        <w:right w:val="none" w:sz="0" w:space="0" w:color="auto"/>
      </w:divBdr>
    </w:div>
    <w:div w:id="863904303">
      <w:bodyDiv w:val="1"/>
      <w:marLeft w:val="0"/>
      <w:marRight w:val="0"/>
      <w:marTop w:val="0"/>
      <w:marBottom w:val="0"/>
      <w:divBdr>
        <w:top w:val="none" w:sz="0" w:space="0" w:color="auto"/>
        <w:left w:val="none" w:sz="0" w:space="0" w:color="auto"/>
        <w:bottom w:val="none" w:sz="0" w:space="0" w:color="auto"/>
        <w:right w:val="none" w:sz="0" w:space="0" w:color="auto"/>
      </w:divBdr>
    </w:div>
    <w:div w:id="874971140">
      <w:bodyDiv w:val="1"/>
      <w:marLeft w:val="0"/>
      <w:marRight w:val="0"/>
      <w:marTop w:val="0"/>
      <w:marBottom w:val="0"/>
      <w:divBdr>
        <w:top w:val="none" w:sz="0" w:space="0" w:color="auto"/>
        <w:left w:val="none" w:sz="0" w:space="0" w:color="auto"/>
        <w:bottom w:val="none" w:sz="0" w:space="0" w:color="auto"/>
        <w:right w:val="none" w:sz="0" w:space="0" w:color="auto"/>
      </w:divBdr>
    </w:div>
    <w:div w:id="876090024">
      <w:bodyDiv w:val="1"/>
      <w:marLeft w:val="0"/>
      <w:marRight w:val="0"/>
      <w:marTop w:val="0"/>
      <w:marBottom w:val="0"/>
      <w:divBdr>
        <w:top w:val="none" w:sz="0" w:space="0" w:color="auto"/>
        <w:left w:val="none" w:sz="0" w:space="0" w:color="auto"/>
        <w:bottom w:val="none" w:sz="0" w:space="0" w:color="auto"/>
        <w:right w:val="none" w:sz="0" w:space="0" w:color="auto"/>
      </w:divBdr>
    </w:div>
    <w:div w:id="883252373">
      <w:bodyDiv w:val="1"/>
      <w:marLeft w:val="0"/>
      <w:marRight w:val="0"/>
      <w:marTop w:val="0"/>
      <w:marBottom w:val="0"/>
      <w:divBdr>
        <w:top w:val="none" w:sz="0" w:space="0" w:color="auto"/>
        <w:left w:val="none" w:sz="0" w:space="0" w:color="auto"/>
        <w:bottom w:val="none" w:sz="0" w:space="0" w:color="auto"/>
        <w:right w:val="none" w:sz="0" w:space="0" w:color="auto"/>
      </w:divBdr>
    </w:div>
    <w:div w:id="900674782">
      <w:bodyDiv w:val="1"/>
      <w:marLeft w:val="0"/>
      <w:marRight w:val="0"/>
      <w:marTop w:val="0"/>
      <w:marBottom w:val="0"/>
      <w:divBdr>
        <w:top w:val="none" w:sz="0" w:space="0" w:color="auto"/>
        <w:left w:val="none" w:sz="0" w:space="0" w:color="auto"/>
        <w:bottom w:val="none" w:sz="0" w:space="0" w:color="auto"/>
        <w:right w:val="none" w:sz="0" w:space="0" w:color="auto"/>
      </w:divBdr>
    </w:div>
    <w:div w:id="903299404">
      <w:bodyDiv w:val="1"/>
      <w:marLeft w:val="0"/>
      <w:marRight w:val="0"/>
      <w:marTop w:val="0"/>
      <w:marBottom w:val="0"/>
      <w:divBdr>
        <w:top w:val="none" w:sz="0" w:space="0" w:color="auto"/>
        <w:left w:val="none" w:sz="0" w:space="0" w:color="auto"/>
        <w:bottom w:val="none" w:sz="0" w:space="0" w:color="auto"/>
        <w:right w:val="none" w:sz="0" w:space="0" w:color="auto"/>
      </w:divBdr>
    </w:div>
    <w:div w:id="903639486">
      <w:bodyDiv w:val="1"/>
      <w:marLeft w:val="0"/>
      <w:marRight w:val="0"/>
      <w:marTop w:val="0"/>
      <w:marBottom w:val="0"/>
      <w:divBdr>
        <w:top w:val="none" w:sz="0" w:space="0" w:color="auto"/>
        <w:left w:val="none" w:sz="0" w:space="0" w:color="auto"/>
        <w:bottom w:val="none" w:sz="0" w:space="0" w:color="auto"/>
        <w:right w:val="none" w:sz="0" w:space="0" w:color="auto"/>
      </w:divBdr>
    </w:div>
    <w:div w:id="911549001">
      <w:bodyDiv w:val="1"/>
      <w:marLeft w:val="0"/>
      <w:marRight w:val="0"/>
      <w:marTop w:val="0"/>
      <w:marBottom w:val="0"/>
      <w:divBdr>
        <w:top w:val="none" w:sz="0" w:space="0" w:color="auto"/>
        <w:left w:val="none" w:sz="0" w:space="0" w:color="auto"/>
        <w:bottom w:val="none" w:sz="0" w:space="0" w:color="auto"/>
        <w:right w:val="none" w:sz="0" w:space="0" w:color="auto"/>
      </w:divBdr>
    </w:div>
    <w:div w:id="914896402">
      <w:bodyDiv w:val="1"/>
      <w:marLeft w:val="0"/>
      <w:marRight w:val="0"/>
      <w:marTop w:val="0"/>
      <w:marBottom w:val="0"/>
      <w:divBdr>
        <w:top w:val="none" w:sz="0" w:space="0" w:color="auto"/>
        <w:left w:val="none" w:sz="0" w:space="0" w:color="auto"/>
        <w:bottom w:val="none" w:sz="0" w:space="0" w:color="auto"/>
        <w:right w:val="none" w:sz="0" w:space="0" w:color="auto"/>
      </w:divBdr>
    </w:div>
    <w:div w:id="918253797">
      <w:bodyDiv w:val="1"/>
      <w:marLeft w:val="0"/>
      <w:marRight w:val="0"/>
      <w:marTop w:val="0"/>
      <w:marBottom w:val="0"/>
      <w:divBdr>
        <w:top w:val="none" w:sz="0" w:space="0" w:color="auto"/>
        <w:left w:val="none" w:sz="0" w:space="0" w:color="auto"/>
        <w:bottom w:val="none" w:sz="0" w:space="0" w:color="auto"/>
        <w:right w:val="none" w:sz="0" w:space="0" w:color="auto"/>
      </w:divBdr>
    </w:div>
    <w:div w:id="919872764">
      <w:bodyDiv w:val="1"/>
      <w:marLeft w:val="0"/>
      <w:marRight w:val="0"/>
      <w:marTop w:val="0"/>
      <w:marBottom w:val="0"/>
      <w:divBdr>
        <w:top w:val="none" w:sz="0" w:space="0" w:color="auto"/>
        <w:left w:val="none" w:sz="0" w:space="0" w:color="auto"/>
        <w:bottom w:val="none" w:sz="0" w:space="0" w:color="auto"/>
        <w:right w:val="none" w:sz="0" w:space="0" w:color="auto"/>
      </w:divBdr>
    </w:div>
    <w:div w:id="922491521">
      <w:bodyDiv w:val="1"/>
      <w:marLeft w:val="0"/>
      <w:marRight w:val="0"/>
      <w:marTop w:val="0"/>
      <w:marBottom w:val="0"/>
      <w:divBdr>
        <w:top w:val="none" w:sz="0" w:space="0" w:color="auto"/>
        <w:left w:val="none" w:sz="0" w:space="0" w:color="auto"/>
        <w:bottom w:val="none" w:sz="0" w:space="0" w:color="auto"/>
        <w:right w:val="none" w:sz="0" w:space="0" w:color="auto"/>
      </w:divBdr>
      <w:divsChild>
        <w:div w:id="560212729">
          <w:marLeft w:val="480"/>
          <w:marRight w:val="0"/>
          <w:marTop w:val="0"/>
          <w:marBottom w:val="0"/>
          <w:divBdr>
            <w:top w:val="none" w:sz="0" w:space="0" w:color="auto"/>
            <w:left w:val="none" w:sz="0" w:space="0" w:color="auto"/>
            <w:bottom w:val="none" w:sz="0" w:space="0" w:color="auto"/>
            <w:right w:val="none" w:sz="0" w:space="0" w:color="auto"/>
          </w:divBdr>
          <w:divsChild>
            <w:div w:id="8825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166">
      <w:bodyDiv w:val="1"/>
      <w:marLeft w:val="0"/>
      <w:marRight w:val="0"/>
      <w:marTop w:val="0"/>
      <w:marBottom w:val="0"/>
      <w:divBdr>
        <w:top w:val="none" w:sz="0" w:space="0" w:color="auto"/>
        <w:left w:val="none" w:sz="0" w:space="0" w:color="auto"/>
        <w:bottom w:val="none" w:sz="0" w:space="0" w:color="auto"/>
        <w:right w:val="none" w:sz="0" w:space="0" w:color="auto"/>
      </w:divBdr>
    </w:div>
    <w:div w:id="934747439">
      <w:bodyDiv w:val="1"/>
      <w:marLeft w:val="0"/>
      <w:marRight w:val="0"/>
      <w:marTop w:val="0"/>
      <w:marBottom w:val="0"/>
      <w:divBdr>
        <w:top w:val="none" w:sz="0" w:space="0" w:color="auto"/>
        <w:left w:val="none" w:sz="0" w:space="0" w:color="auto"/>
        <w:bottom w:val="none" w:sz="0" w:space="0" w:color="auto"/>
        <w:right w:val="none" w:sz="0" w:space="0" w:color="auto"/>
      </w:divBdr>
      <w:divsChild>
        <w:div w:id="258297689">
          <w:marLeft w:val="480"/>
          <w:marRight w:val="0"/>
          <w:marTop w:val="0"/>
          <w:marBottom w:val="0"/>
          <w:divBdr>
            <w:top w:val="none" w:sz="0" w:space="0" w:color="auto"/>
            <w:left w:val="none" w:sz="0" w:space="0" w:color="auto"/>
            <w:bottom w:val="none" w:sz="0" w:space="0" w:color="auto"/>
            <w:right w:val="none" w:sz="0" w:space="0" w:color="auto"/>
          </w:divBdr>
          <w:divsChild>
            <w:div w:id="19851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3278">
      <w:bodyDiv w:val="1"/>
      <w:marLeft w:val="0"/>
      <w:marRight w:val="0"/>
      <w:marTop w:val="0"/>
      <w:marBottom w:val="0"/>
      <w:divBdr>
        <w:top w:val="none" w:sz="0" w:space="0" w:color="auto"/>
        <w:left w:val="none" w:sz="0" w:space="0" w:color="auto"/>
        <w:bottom w:val="none" w:sz="0" w:space="0" w:color="auto"/>
        <w:right w:val="none" w:sz="0" w:space="0" w:color="auto"/>
      </w:divBdr>
      <w:divsChild>
        <w:div w:id="2032610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184205">
              <w:marLeft w:val="0"/>
              <w:marRight w:val="0"/>
              <w:marTop w:val="0"/>
              <w:marBottom w:val="0"/>
              <w:divBdr>
                <w:top w:val="none" w:sz="0" w:space="0" w:color="auto"/>
                <w:left w:val="none" w:sz="0" w:space="0" w:color="auto"/>
                <w:bottom w:val="none" w:sz="0" w:space="0" w:color="auto"/>
                <w:right w:val="none" w:sz="0" w:space="0" w:color="auto"/>
              </w:divBdr>
              <w:divsChild>
                <w:div w:id="14278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58636">
      <w:bodyDiv w:val="1"/>
      <w:marLeft w:val="0"/>
      <w:marRight w:val="0"/>
      <w:marTop w:val="0"/>
      <w:marBottom w:val="0"/>
      <w:divBdr>
        <w:top w:val="none" w:sz="0" w:space="0" w:color="auto"/>
        <w:left w:val="none" w:sz="0" w:space="0" w:color="auto"/>
        <w:bottom w:val="none" w:sz="0" w:space="0" w:color="auto"/>
        <w:right w:val="none" w:sz="0" w:space="0" w:color="auto"/>
      </w:divBdr>
      <w:divsChild>
        <w:div w:id="1322003470">
          <w:marLeft w:val="480"/>
          <w:marRight w:val="0"/>
          <w:marTop w:val="0"/>
          <w:marBottom w:val="0"/>
          <w:divBdr>
            <w:top w:val="none" w:sz="0" w:space="0" w:color="auto"/>
            <w:left w:val="none" w:sz="0" w:space="0" w:color="auto"/>
            <w:bottom w:val="none" w:sz="0" w:space="0" w:color="auto"/>
            <w:right w:val="none" w:sz="0" w:space="0" w:color="auto"/>
          </w:divBdr>
          <w:divsChild>
            <w:div w:id="11528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5513">
      <w:bodyDiv w:val="1"/>
      <w:marLeft w:val="0"/>
      <w:marRight w:val="0"/>
      <w:marTop w:val="0"/>
      <w:marBottom w:val="0"/>
      <w:divBdr>
        <w:top w:val="none" w:sz="0" w:space="0" w:color="auto"/>
        <w:left w:val="none" w:sz="0" w:space="0" w:color="auto"/>
        <w:bottom w:val="none" w:sz="0" w:space="0" w:color="auto"/>
        <w:right w:val="none" w:sz="0" w:space="0" w:color="auto"/>
      </w:divBdr>
    </w:div>
    <w:div w:id="946808465">
      <w:bodyDiv w:val="1"/>
      <w:marLeft w:val="0"/>
      <w:marRight w:val="0"/>
      <w:marTop w:val="0"/>
      <w:marBottom w:val="0"/>
      <w:divBdr>
        <w:top w:val="none" w:sz="0" w:space="0" w:color="auto"/>
        <w:left w:val="none" w:sz="0" w:space="0" w:color="auto"/>
        <w:bottom w:val="none" w:sz="0" w:space="0" w:color="auto"/>
        <w:right w:val="none" w:sz="0" w:space="0" w:color="auto"/>
      </w:divBdr>
      <w:divsChild>
        <w:div w:id="632563976">
          <w:marLeft w:val="480"/>
          <w:marRight w:val="0"/>
          <w:marTop w:val="0"/>
          <w:marBottom w:val="0"/>
          <w:divBdr>
            <w:top w:val="none" w:sz="0" w:space="0" w:color="auto"/>
            <w:left w:val="none" w:sz="0" w:space="0" w:color="auto"/>
            <w:bottom w:val="none" w:sz="0" w:space="0" w:color="auto"/>
            <w:right w:val="none" w:sz="0" w:space="0" w:color="auto"/>
          </w:divBdr>
          <w:divsChild>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6232">
      <w:bodyDiv w:val="1"/>
      <w:marLeft w:val="0"/>
      <w:marRight w:val="0"/>
      <w:marTop w:val="0"/>
      <w:marBottom w:val="0"/>
      <w:divBdr>
        <w:top w:val="none" w:sz="0" w:space="0" w:color="auto"/>
        <w:left w:val="none" w:sz="0" w:space="0" w:color="auto"/>
        <w:bottom w:val="none" w:sz="0" w:space="0" w:color="auto"/>
        <w:right w:val="none" w:sz="0" w:space="0" w:color="auto"/>
      </w:divBdr>
    </w:div>
    <w:div w:id="952134795">
      <w:bodyDiv w:val="1"/>
      <w:marLeft w:val="0"/>
      <w:marRight w:val="0"/>
      <w:marTop w:val="0"/>
      <w:marBottom w:val="0"/>
      <w:divBdr>
        <w:top w:val="none" w:sz="0" w:space="0" w:color="auto"/>
        <w:left w:val="none" w:sz="0" w:space="0" w:color="auto"/>
        <w:bottom w:val="none" w:sz="0" w:space="0" w:color="auto"/>
        <w:right w:val="none" w:sz="0" w:space="0" w:color="auto"/>
      </w:divBdr>
    </w:div>
    <w:div w:id="952175358">
      <w:bodyDiv w:val="1"/>
      <w:marLeft w:val="0"/>
      <w:marRight w:val="0"/>
      <w:marTop w:val="0"/>
      <w:marBottom w:val="0"/>
      <w:divBdr>
        <w:top w:val="none" w:sz="0" w:space="0" w:color="auto"/>
        <w:left w:val="none" w:sz="0" w:space="0" w:color="auto"/>
        <w:bottom w:val="none" w:sz="0" w:space="0" w:color="auto"/>
        <w:right w:val="none" w:sz="0" w:space="0" w:color="auto"/>
      </w:divBdr>
    </w:div>
    <w:div w:id="956760635">
      <w:bodyDiv w:val="1"/>
      <w:marLeft w:val="0"/>
      <w:marRight w:val="0"/>
      <w:marTop w:val="0"/>
      <w:marBottom w:val="0"/>
      <w:divBdr>
        <w:top w:val="none" w:sz="0" w:space="0" w:color="auto"/>
        <w:left w:val="none" w:sz="0" w:space="0" w:color="auto"/>
        <w:bottom w:val="none" w:sz="0" w:space="0" w:color="auto"/>
        <w:right w:val="none" w:sz="0" w:space="0" w:color="auto"/>
      </w:divBdr>
      <w:divsChild>
        <w:div w:id="854346341">
          <w:marLeft w:val="0"/>
          <w:marRight w:val="0"/>
          <w:marTop w:val="0"/>
          <w:marBottom w:val="0"/>
          <w:divBdr>
            <w:top w:val="none" w:sz="0" w:space="0" w:color="auto"/>
            <w:left w:val="none" w:sz="0" w:space="0" w:color="auto"/>
            <w:bottom w:val="none" w:sz="0" w:space="0" w:color="auto"/>
            <w:right w:val="none" w:sz="0" w:space="0" w:color="auto"/>
          </w:divBdr>
        </w:div>
        <w:div w:id="665519214">
          <w:marLeft w:val="0"/>
          <w:marRight w:val="0"/>
          <w:marTop w:val="0"/>
          <w:marBottom w:val="0"/>
          <w:divBdr>
            <w:top w:val="none" w:sz="0" w:space="0" w:color="auto"/>
            <w:left w:val="none" w:sz="0" w:space="0" w:color="auto"/>
            <w:bottom w:val="none" w:sz="0" w:space="0" w:color="auto"/>
            <w:right w:val="none" w:sz="0" w:space="0" w:color="auto"/>
          </w:divBdr>
        </w:div>
        <w:div w:id="1982735696">
          <w:marLeft w:val="0"/>
          <w:marRight w:val="0"/>
          <w:marTop w:val="0"/>
          <w:marBottom w:val="0"/>
          <w:divBdr>
            <w:top w:val="none" w:sz="0" w:space="0" w:color="auto"/>
            <w:left w:val="none" w:sz="0" w:space="0" w:color="auto"/>
            <w:bottom w:val="none" w:sz="0" w:space="0" w:color="auto"/>
            <w:right w:val="none" w:sz="0" w:space="0" w:color="auto"/>
          </w:divBdr>
        </w:div>
      </w:divsChild>
    </w:div>
    <w:div w:id="957880875">
      <w:bodyDiv w:val="1"/>
      <w:marLeft w:val="0"/>
      <w:marRight w:val="0"/>
      <w:marTop w:val="0"/>
      <w:marBottom w:val="0"/>
      <w:divBdr>
        <w:top w:val="none" w:sz="0" w:space="0" w:color="auto"/>
        <w:left w:val="none" w:sz="0" w:space="0" w:color="auto"/>
        <w:bottom w:val="none" w:sz="0" w:space="0" w:color="auto"/>
        <w:right w:val="none" w:sz="0" w:space="0" w:color="auto"/>
      </w:divBdr>
    </w:div>
    <w:div w:id="960569267">
      <w:bodyDiv w:val="1"/>
      <w:marLeft w:val="0"/>
      <w:marRight w:val="0"/>
      <w:marTop w:val="0"/>
      <w:marBottom w:val="0"/>
      <w:divBdr>
        <w:top w:val="none" w:sz="0" w:space="0" w:color="auto"/>
        <w:left w:val="none" w:sz="0" w:space="0" w:color="auto"/>
        <w:bottom w:val="none" w:sz="0" w:space="0" w:color="auto"/>
        <w:right w:val="none" w:sz="0" w:space="0" w:color="auto"/>
      </w:divBdr>
    </w:div>
    <w:div w:id="961762603">
      <w:bodyDiv w:val="1"/>
      <w:marLeft w:val="0"/>
      <w:marRight w:val="0"/>
      <w:marTop w:val="0"/>
      <w:marBottom w:val="0"/>
      <w:divBdr>
        <w:top w:val="none" w:sz="0" w:space="0" w:color="auto"/>
        <w:left w:val="none" w:sz="0" w:space="0" w:color="auto"/>
        <w:bottom w:val="none" w:sz="0" w:space="0" w:color="auto"/>
        <w:right w:val="none" w:sz="0" w:space="0" w:color="auto"/>
      </w:divBdr>
    </w:div>
    <w:div w:id="977144495">
      <w:bodyDiv w:val="1"/>
      <w:marLeft w:val="0"/>
      <w:marRight w:val="0"/>
      <w:marTop w:val="0"/>
      <w:marBottom w:val="0"/>
      <w:divBdr>
        <w:top w:val="none" w:sz="0" w:space="0" w:color="auto"/>
        <w:left w:val="none" w:sz="0" w:space="0" w:color="auto"/>
        <w:bottom w:val="none" w:sz="0" w:space="0" w:color="auto"/>
        <w:right w:val="none" w:sz="0" w:space="0" w:color="auto"/>
      </w:divBdr>
    </w:div>
    <w:div w:id="977999050">
      <w:bodyDiv w:val="1"/>
      <w:marLeft w:val="0"/>
      <w:marRight w:val="0"/>
      <w:marTop w:val="0"/>
      <w:marBottom w:val="0"/>
      <w:divBdr>
        <w:top w:val="none" w:sz="0" w:space="0" w:color="auto"/>
        <w:left w:val="none" w:sz="0" w:space="0" w:color="auto"/>
        <w:bottom w:val="none" w:sz="0" w:space="0" w:color="auto"/>
        <w:right w:val="none" w:sz="0" w:space="0" w:color="auto"/>
      </w:divBdr>
    </w:div>
    <w:div w:id="978340248">
      <w:bodyDiv w:val="1"/>
      <w:marLeft w:val="0"/>
      <w:marRight w:val="0"/>
      <w:marTop w:val="0"/>
      <w:marBottom w:val="0"/>
      <w:divBdr>
        <w:top w:val="none" w:sz="0" w:space="0" w:color="auto"/>
        <w:left w:val="none" w:sz="0" w:space="0" w:color="auto"/>
        <w:bottom w:val="none" w:sz="0" w:space="0" w:color="auto"/>
        <w:right w:val="none" w:sz="0" w:space="0" w:color="auto"/>
      </w:divBdr>
    </w:div>
    <w:div w:id="979268754">
      <w:bodyDiv w:val="1"/>
      <w:marLeft w:val="0"/>
      <w:marRight w:val="0"/>
      <w:marTop w:val="0"/>
      <w:marBottom w:val="0"/>
      <w:divBdr>
        <w:top w:val="none" w:sz="0" w:space="0" w:color="auto"/>
        <w:left w:val="none" w:sz="0" w:space="0" w:color="auto"/>
        <w:bottom w:val="none" w:sz="0" w:space="0" w:color="auto"/>
        <w:right w:val="none" w:sz="0" w:space="0" w:color="auto"/>
      </w:divBdr>
      <w:divsChild>
        <w:div w:id="245773854">
          <w:marLeft w:val="480"/>
          <w:marRight w:val="0"/>
          <w:marTop w:val="0"/>
          <w:marBottom w:val="0"/>
          <w:divBdr>
            <w:top w:val="none" w:sz="0" w:space="0" w:color="auto"/>
            <w:left w:val="none" w:sz="0" w:space="0" w:color="auto"/>
            <w:bottom w:val="none" w:sz="0" w:space="0" w:color="auto"/>
            <w:right w:val="none" w:sz="0" w:space="0" w:color="auto"/>
          </w:divBdr>
          <w:divsChild>
            <w:div w:id="13324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4677">
      <w:bodyDiv w:val="1"/>
      <w:marLeft w:val="0"/>
      <w:marRight w:val="0"/>
      <w:marTop w:val="0"/>
      <w:marBottom w:val="0"/>
      <w:divBdr>
        <w:top w:val="none" w:sz="0" w:space="0" w:color="auto"/>
        <w:left w:val="none" w:sz="0" w:space="0" w:color="auto"/>
        <w:bottom w:val="none" w:sz="0" w:space="0" w:color="auto"/>
        <w:right w:val="none" w:sz="0" w:space="0" w:color="auto"/>
      </w:divBdr>
    </w:div>
    <w:div w:id="983503771">
      <w:bodyDiv w:val="1"/>
      <w:marLeft w:val="0"/>
      <w:marRight w:val="0"/>
      <w:marTop w:val="0"/>
      <w:marBottom w:val="0"/>
      <w:divBdr>
        <w:top w:val="none" w:sz="0" w:space="0" w:color="auto"/>
        <w:left w:val="none" w:sz="0" w:space="0" w:color="auto"/>
        <w:bottom w:val="none" w:sz="0" w:space="0" w:color="auto"/>
        <w:right w:val="none" w:sz="0" w:space="0" w:color="auto"/>
      </w:divBdr>
      <w:divsChild>
        <w:div w:id="1659724775">
          <w:marLeft w:val="480"/>
          <w:marRight w:val="0"/>
          <w:marTop w:val="0"/>
          <w:marBottom w:val="0"/>
          <w:divBdr>
            <w:top w:val="none" w:sz="0" w:space="0" w:color="auto"/>
            <w:left w:val="none" w:sz="0" w:space="0" w:color="auto"/>
            <w:bottom w:val="none" w:sz="0" w:space="0" w:color="auto"/>
            <w:right w:val="none" w:sz="0" w:space="0" w:color="auto"/>
          </w:divBdr>
          <w:divsChild>
            <w:div w:id="2327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6819">
      <w:bodyDiv w:val="1"/>
      <w:marLeft w:val="0"/>
      <w:marRight w:val="0"/>
      <w:marTop w:val="0"/>
      <w:marBottom w:val="0"/>
      <w:divBdr>
        <w:top w:val="none" w:sz="0" w:space="0" w:color="auto"/>
        <w:left w:val="none" w:sz="0" w:space="0" w:color="auto"/>
        <w:bottom w:val="none" w:sz="0" w:space="0" w:color="auto"/>
        <w:right w:val="none" w:sz="0" w:space="0" w:color="auto"/>
      </w:divBdr>
    </w:div>
    <w:div w:id="989092210">
      <w:bodyDiv w:val="1"/>
      <w:marLeft w:val="0"/>
      <w:marRight w:val="0"/>
      <w:marTop w:val="0"/>
      <w:marBottom w:val="0"/>
      <w:divBdr>
        <w:top w:val="none" w:sz="0" w:space="0" w:color="auto"/>
        <w:left w:val="none" w:sz="0" w:space="0" w:color="auto"/>
        <w:bottom w:val="none" w:sz="0" w:space="0" w:color="auto"/>
        <w:right w:val="none" w:sz="0" w:space="0" w:color="auto"/>
      </w:divBdr>
    </w:div>
    <w:div w:id="989946622">
      <w:bodyDiv w:val="1"/>
      <w:marLeft w:val="0"/>
      <w:marRight w:val="0"/>
      <w:marTop w:val="0"/>
      <w:marBottom w:val="0"/>
      <w:divBdr>
        <w:top w:val="none" w:sz="0" w:space="0" w:color="auto"/>
        <w:left w:val="none" w:sz="0" w:space="0" w:color="auto"/>
        <w:bottom w:val="none" w:sz="0" w:space="0" w:color="auto"/>
        <w:right w:val="none" w:sz="0" w:space="0" w:color="auto"/>
      </w:divBdr>
    </w:div>
    <w:div w:id="990869818">
      <w:bodyDiv w:val="1"/>
      <w:marLeft w:val="0"/>
      <w:marRight w:val="0"/>
      <w:marTop w:val="0"/>
      <w:marBottom w:val="0"/>
      <w:divBdr>
        <w:top w:val="none" w:sz="0" w:space="0" w:color="auto"/>
        <w:left w:val="none" w:sz="0" w:space="0" w:color="auto"/>
        <w:bottom w:val="none" w:sz="0" w:space="0" w:color="auto"/>
        <w:right w:val="none" w:sz="0" w:space="0" w:color="auto"/>
      </w:divBdr>
    </w:div>
    <w:div w:id="995260012">
      <w:bodyDiv w:val="1"/>
      <w:marLeft w:val="0"/>
      <w:marRight w:val="0"/>
      <w:marTop w:val="0"/>
      <w:marBottom w:val="0"/>
      <w:divBdr>
        <w:top w:val="none" w:sz="0" w:space="0" w:color="auto"/>
        <w:left w:val="none" w:sz="0" w:space="0" w:color="auto"/>
        <w:bottom w:val="none" w:sz="0" w:space="0" w:color="auto"/>
        <w:right w:val="none" w:sz="0" w:space="0" w:color="auto"/>
      </w:divBdr>
    </w:div>
    <w:div w:id="999625053">
      <w:bodyDiv w:val="1"/>
      <w:marLeft w:val="0"/>
      <w:marRight w:val="0"/>
      <w:marTop w:val="0"/>
      <w:marBottom w:val="0"/>
      <w:divBdr>
        <w:top w:val="none" w:sz="0" w:space="0" w:color="auto"/>
        <w:left w:val="none" w:sz="0" w:space="0" w:color="auto"/>
        <w:bottom w:val="none" w:sz="0" w:space="0" w:color="auto"/>
        <w:right w:val="none" w:sz="0" w:space="0" w:color="auto"/>
      </w:divBdr>
    </w:div>
    <w:div w:id="1000698908">
      <w:bodyDiv w:val="1"/>
      <w:marLeft w:val="0"/>
      <w:marRight w:val="0"/>
      <w:marTop w:val="0"/>
      <w:marBottom w:val="0"/>
      <w:divBdr>
        <w:top w:val="none" w:sz="0" w:space="0" w:color="auto"/>
        <w:left w:val="none" w:sz="0" w:space="0" w:color="auto"/>
        <w:bottom w:val="none" w:sz="0" w:space="0" w:color="auto"/>
        <w:right w:val="none" w:sz="0" w:space="0" w:color="auto"/>
      </w:divBdr>
      <w:divsChild>
        <w:div w:id="2033065844">
          <w:marLeft w:val="480"/>
          <w:marRight w:val="0"/>
          <w:marTop w:val="0"/>
          <w:marBottom w:val="0"/>
          <w:divBdr>
            <w:top w:val="none" w:sz="0" w:space="0" w:color="auto"/>
            <w:left w:val="none" w:sz="0" w:space="0" w:color="auto"/>
            <w:bottom w:val="none" w:sz="0" w:space="0" w:color="auto"/>
            <w:right w:val="none" w:sz="0" w:space="0" w:color="auto"/>
          </w:divBdr>
          <w:divsChild>
            <w:div w:id="12309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1307">
      <w:bodyDiv w:val="1"/>
      <w:marLeft w:val="0"/>
      <w:marRight w:val="0"/>
      <w:marTop w:val="0"/>
      <w:marBottom w:val="0"/>
      <w:divBdr>
        <w:top w:val="none" w:sz="0" w:space="0" w:color="auto"/>
        <w:left w:val="none" w:sz="0" w:space="0" w:color="auto"/>
        <w:bottom w:val="none" w:sz="0" w:space="0" w:color="auto"/>
        <w:right w:val="none" w:sz="0" w:space="0" w:color="auto"/>
      </w:divBdr>
    </w:div>
    <w:div w:id="1008214521">
      <w:bodyDiv w:val="1"/>
      <w:marLeft w:val="0"/>
      <w:marRight w:val="0"/>
      <w:marTop w:val="0"/>
      <w:marBottom w:val="0"/>
      <w:divBdr>
        <w:top w:val="none" w:sz="0" w:space="0" w:color="auto"/>
        <w:left w:val="none" w:sz="0" w:space="0" w:color="auto"/>
        <w:bottom w:val="none" w:sz="0" w:space="0" w:color="auto"/>
        <w:right w:val="none" w:sz="0" w:space="0" w:color="auto"/>
      </w:divBdr>
      <w:divsChild>
        <w:div w:id="205803504">
          <w:marLeft w:val="480"/>
          <w:marRight w:val="0"/>
          <w:marTop w:val="0"/>
          <w:marBottom w:val="0"/>
          <w:divBdr>
            <w:top w:val="none" w:sz="0" w:space="0" w:color="auto"/>
            <w:left w:val="none" w:sz="0" w:space="0" w:color="auto"/>
            <w:bottom w:val="none" w:sz="0" w:space="0" w:color="auto"/>
            <w:right w:val="none" w:sz="0" w:space="0" w:color="auto"/>
          </w:divBdr>
          <w:divsChild>
            <w:div w:id="19750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9432">
      <w:bodyDiv w:val="1"/>
      <w:marLeft w:val="0"/>
      <w:marRight w:val="0"/>
      <w:marTop w:val="0"/>
      <w:marBottom w:val="0"/>
      <w:divBdr>
        <w:top w:val="none" w:sz="0" w:space="0" w:color="auto"/>
        <w:left w:val="none" w:sz="0" w:space="0" w:color="auto"/>
        <w:bottom w:val="none" w:sz="0" w:space="0" w:color="auto"/>
        <w:right w:val="none" w:sz="0" w:space="0" w:color="auto"/>
      </w:divBdr>
      <w:divsChild>
        <w:div w:id="17394090">
          <w:marLeft w:val="480"/>
          <w:marRight w:val="0"/>
          <w:marTop w:val="0"/>
          <w:marBottom w:val="0"/>
          <w:divBdr>
            <w:top w:val="none" w:sz="0" w:space="0" w:color="auto"/>
            <w:left w:val="none" w:sz="0" w:space="0" w:color="auto"/>
            <w:bottom w:val="none" w:sz="0" w:space="0" w:color="auto"/>
            <w:right w:val="none" w:sz="0" w:space="0" w:color="auto"/>
          </w:divBdr>
          <w:divsChild>
            <w:div w:id="7355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1953">
      <w:bodyDiv w:val="1"/>
      <w:marLeft w:val="0"/>
      <w:marRight w:val="0"/>
      <w:marTop w:val="0"/>
      <w:marBottom w:val="0"/>
      <w:divBdr>
        <w:top w:val="none" w:sz="0" w:space="0" w:color="auto"/>
        <w:left w:val="none" w:sz="0" w:space="0" w:color="auto"/>
        <w:bottom w:val="none" w:sz="0" w:space="0" w:color="auto"/>
        <w:right w:val="none" w:sz="0" w:space="0" w:color="auto"/>
      </w:divBdr>
    </w:div>
    <w:div w:id="1011762025">
      <w:bodyDiv w:val="1"/>
      <w:marLeft w:val="0"/>
      <w:marRight w:val="0"/>
      <w:marTop w:val="0"/>
      <w:marBottom w:val="0"/>
      <w:divBdr>
        <w:top w:val="none" w:sz="0" w:space="0" w:color="auto"/>
        <w:left w:val="none" w:sz="0" w:space="0" w:color="auto"/>
        <w:bottom w:val="none" w:sz="0" w:space="0" w:color="auto"/>
        <w:right w:val="none" w:sz="0" w:space="0" w:color="auto"/>
      </w:divBdr>
    </w:div>
    <w:div w:id="1013461335">
      <w:bodyDiv w:val="1"/>
      <w:marLeft w:val="0"/>
      <w:marRight w:val="0"/>
      <w:marTop w:val="0"/>
      <w:marBottom w:val="0"/>
      <w:divBdr>
        <w:top w:val="none" w:sz="0" w:space="0" w:color="auto"/>
        <w:left w:val="none" w:sz="0" w:space="0" w:color="auto"/>
        <w:bottom w:val="none" w:sz="0" w:space="0" w:color="auto"/>
        <w:right w:val="none" w:sz="0" w:space="0" w:color="auto"/>
      </w:divBdr>
    </w:div>
    <w:div w:id="1021860198">
      <w:bodyDiv w:val="1"/>
      <w:marLeft w:val="0"/>
      <w:marRight w:val="0"/>
      <w:marTop w:val="0"/>
      <w:marBottom w:val="0"/>
      <w:divBdr>
        <w:top w:val="none" w:sz="0" w:space="0" w:color="auto"/>
        <w:left w:val="none" w:sz="0" w:space="0" w:color="auto"/>
        <w:bottom w:val="none" w:sz="0" w:space="0" w:color="auto"/>
        <w:right w:val="none" w:sz="0" w:space="0" w:color="auto"/>
      </w:divBdr>
      <w:divsChild>
        <w:div w:id="734166690">
          <w:marLeft w:val="288"/>
          <w:marRight w:val="0"/>
          <w:marTop w:val="80"/>
          <w:marBottom w:val="0"/>
          <w:divBdr>
            <w:top w:val="none" w:sz="0" w:space="0" w:color="auto"/>
            <w:left w:val="none" w:sz="0" w:space="0" w:color="auto"/>
            <w:bottom w:val="none" w:sz="0" w:space="0" w:color="auto"/>
            <w:right w:val="none" w:sz="0" w:space="0" w:color="auto"/>
          </w:divBdr>
        </w:div>
      </w:divsChild>
    </w:div>
    <w:div w:id="1024017490">
      <w:bodyDiv w:val="1"/>
      <w:marLeft w:val="0"/>
      <w:marRight w:val="0"/>
      <w:marTop w:val="0"/>
      <w:marBottom w:val="0"/>
      <w:divBdr>
        <w:top w:val="none" w:sz="0" w:space="0" w:color="auto"/>
        <w:left w:val="none" w:sz="0" w:space="0" w:color="auto"/>
        <w:bottom w:val="none" w:sz="0" w:space="0" w:color="auto"/>
        <w:right w:val="none" w:sz="0" w:space="0" w:color="auto"/>
      </w:divBdr>
      <w:divsChild>
        <w:div w:id="1584997633">
          <w:marLeft w:val="0"/>
          <w:marRight w:val="0"/>
          <w:marTop w:val="0"/>
          <w:marBottom w:val="0"/>
          <w:divBdr>
            <w:top w:val="none" w:sz="0" w:space="0" w:color="auto"/>
            <w:left w:val="none" w:sz="0" w:space="0" w:color="auto"/>
            <w:bottom w:val="none" w:sz="0" w:space="0" w:color="auto"/>
            <w:right w:val="none" w:sz="0" w:space="0" w:color="auto"/>
          </w:divBdr>
        </w:div>
        <w:div w:id="1412116235">
          <w:marLeft w:val="0"/>
          <w:marRight w:val="0"/>
          <w:marTop w:val="0"/>
          <w:marBottom w:val="0"/>
          <w:divBdr>
            <w:top w:val="none" w:sz="0" w:space="0" w:color="auto"/>
            <w:left w:val="none" w:sz="0" w:space="0" w:color="auto"/>
            <w:bottom w:val="none" w:sz="0" w:space="0" w:color="auto"/>
            <w:right w:val="none" w:sz="0" w:space="0" w:color="auto"/>
          </w:divBdr>
        </w:div>
        <w:div w:id="904875166">
          <w:marLeft w:val="0"/>
          <w:marRight w:val="0"/>
          <w:marTop w:val="0"/>
          <w:marBottom w:val="0"/>
          <w:divBdr>
            <w:top w:val="none" w:sz="0" w:space="0" w:color="auto"/>
            <w:left w:val="none" w:sz="0" w:space="0" w:color="auto"/>
            <w:bottom w:val="none" w:sz="0" w:space="0" w:color="auto"/>
            <w:right w:val="none" w:sz="0" w:space="0" w:color="auto"/>
          </w:divBdr>
        </w:div>
        <w:div w:id="1533495134">
          <w:marLeft w:val="0"/>
          <w:marRight w:val="0"/>
          <w:marTop w:val="0"/>
          <w:marBottom w:val="0"/>
          <w:divBdr>
            <w:top w:val="none" w:sz="0" w:space="0" w:color="auto"/>
            <w:left w:val="none" w:sz="0" w:space="0" w:color="auto"/>
            <w:bottom w:val="none" w:sz="0" w:space="0" w:color="auto"/>
            <w:right w:val="none" w:sz="0" w:space="0" w:color="auto"/>
          </w:divBdr>
        </w:div>
        <w:div w:id="1672177035">
          <w:marLeft w:val="0"/>
          <w:marRight w:val="0"/>
          <w:marTop w:val="0"/>
          <w:marBottom w:val="0"/>
          <w:divBdr>
            <w:top w:val="none" w:sz="0" w:space="0" w:color="auto"/>
            <w:left w:val="none" w:sz="0" w:space="0" w:color="auto"/>
            <w:bottom w:val="none" w:sz="0" w:space="0" w:color="auto"/>
            <w:right w:val="none" w:sz="0" w:space="0" w:color="auto"/>
          </w:divBdr>
        </w:div>
      </w:divsChild>
    </w:div>
    <w:div w:id="1024020622">
      <w:bodyDiv w:val="1"/>
      <w:marLeft w:val="0"/>
      <w:marRight w:val="0"/>
      <w:marTop w:val="0"/>
      <w:marBottom w:val="0"/>
      <w:divBdr>
        <w:top w:val="none" w:sz="0" w:space="0" w:color="auto"/>
        <w:left w:val="none" w:sz="0" w:space="0" w:color="auto"/>
        <w:bottom w:val="none" w:sz="0" w:space="0" w:color="auto"/>
        <w:right w:val="none" w:sz="0" w:space="0" w:color="auto"/>
      </w:divBdr>
    </w:div>
    <w:div w:id="1026560990">
      <w:bodyDiv w:val="1"/>
      <w:marLeft w:val="0"/>
      <w:marRight w:val="0"/>
      <w:marTop w:val="0"/>
      <w:marBottom w:val="0"/>
      <w:divBdr>
        <w:top w:val="none" w:sz="0" w:space="0" w:color="auto"/>
        <w:left w:val="none" w:sz="0" w:space="0" w:color="auto"/>
        <w:bottom w:val="none" w:sz="0" w:space="0" w:color="auto"/>
        <w:right w:val="none" w:sz="0" w:space="0" w:color="auto"/>
      </w:divBdr>
      <w:divsChild>
        <w:div w:id="428894450">
          <w:marLeft w:val="480"/>
          <w:marRight w:val="0"/>
          <w:marTop w:val="0"/>
          <w:marBottom w:val="0"/>
          <w:divBdr>
            <w:top w:val="none" w:sz="0" w:space="0" w:color="auto"/>
            <w:left w:val="none" w:sz="0" w:space="0" w:color="auto"/>
            <w:bottom w:val="none" w:sz="0" w:space="0" w:color="auto"/>
            <w:right w:val="none" w:sz="0" w:space="0" w:color="auto"/>
          </w:divBdr>
          <w:divsChild>
            <w:div w:id="16188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3996">
      <w:bodyDiv w:val="1"/>
      <w:marLeft w:val="0"/>
      <w:marRight w:val="0"/>
      <w:marTop w:val="0"/>
      <w:marBottom w:val="0"/>
      <w:divBdr>
        <w:top w:val="none" w:sz="0" w:space="0" w:color="auto"/>
        <w:left w:val="none" w:sz="0" w:space="0" w:color="auto"/>
        <w:bottom w:val="none" w:sz="0" w:space="0" w:color="auto"/>
        <w:right w:val="none" w:sz="0" w:space="0" w:color="auto"/>
      </w:divBdr>
    </w:div>
    <w:div w:id="1032342186">
      <w:bodyDiv w:val="1"/>
      <w:marLeft w:val="0"/>
      <w:marRight w:val="0"/>
      <w:marTop w:val="0"/>
      <w:marBottom w:val="0"/>
      <w:divBdr>
        <w:top w:val="none" w:sz="0" w:space="0" w:color="auto"/>
        <w:left w:val="none" w:sz="0" w:space="0" w:color="auto"/>
        <w:bottom w:val="none" w:sz="0" w:space="0" w:color="auto"/>
        <w:right w:val="none" w:sz="0" w:space="0" w:color="auto"/>
      </w:divBdr>
      <w:divsChild>
        <w:div w:id="1653871278">
          <w:marLeft w:val="480"/>
          <w:marRight w:val="0"/>
          <w:marTop w:val="0"/>
          <w:marBottom w:val="0"/>
          <w:divBdr>
            <w:top w:val="none" w:sz="0" w:space="0" w:color="auto"/>
            <w:left w:val="none" w:sz="0" w:space="0" w:color="auto"/>
            <w:bottom w:val="none" w:sz="0" w:space="0" w:color="auto"/>
            <w:right w:val="none" w:sz="0" w:space="0" w:color="auto"/>
          </w:divBdr>
          <w:divsChild>
            <w:div w:id="2073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5176">
      <w:bodyDiv w:val="1"/>
      <w:marLeft w:val="0"/>
      <w:marRight w:val="0"/>
      <w:marTop w:val="0"/>
      <w:marBottom w:val="0"/>
      <w:divBdr>
        <w:top w:val="none" w:sz="0" w:space="0" w:color="auto"/>
        <w:left w:val="none" w:sz="0" w:space="0" w:color="auto"/>
        <w:bottom w:val="none" w:sz="0" w:space="0" w:color="auto"/>
        <w:right w:val="none" w:sz="0" w:space="0" w:color="auto"/>
      </w:divBdr>
    </w:div>
    <w:div w:id="1037972925">
      <w:bodyDiv w:val="1"/>
      <w:marLeft w:val="0"/>
      <w:marRight w:val="0"/>
      <w:marTop w:val="0"/>
      <w:marBottom w:val="0"/>
      <w:divBdr>
        <w:top w:val="none" w:sz="0" w:space="0" w:color="auto"/>
        <w:left w:val="none" w:sz="0" w:space="0" w:color="auto"/>
        <w:bottom w:val="none" w:sz="0" w:space="0" w:color="auto"/>
        <w:right w:val="none" w:sz="0" w:space="0" w:color="auto"/>
      </w:divBdr>
    </w:div>
    <w:div w:id="1051730937">
      <w:bodyDiv w:val="1"/>
      <w:marLeft w:val="0"/>
      <w:marRight w:val="0"/>
      <w:marTop w:val="0"/>
      <w:marBottom w:val="0"/>
      <w:divBdr>
        <w:top w:val="none" w:sz="0" w:space="0" w:color="auto"/>
        <w:left w:val="none" w:sz="0" w:space="0" w:color="auto"/>
        <w:bottom w:val="none" w:sz="0" w:space="0" w:color="auto"/>
        <w:right w:val="none" w:sz="0" w:space="0" w:color="auto"/>
      </w:divBdr>
    </w:div>
    <w:div w:id="1051810346">
      <w:bodyDiv w:val="1"/>
      <w:marLeft w:val="0"/>
      <w:marRight w:val="0"/>
      <w:marTop w:val="0"/>
      <w:marBottom w:val="0"/>
      <w:divBdr>
        <w:top w:val="none" w:sz="0" w:space="0" w:color="auto"/>
        <w:left w:val="none" w:sz="0" w:space="0" w:color="auto"/>
        <w:bottom w:val="none" w:sz="0" w:space="0" w:color="auto"/>
        <w:right w:val="none" w:sz="0" w:space="0" w:color="auto"/>
      </w:divBdr>
    </w:div>
    <w:div w:id="1053770443">
      <w:bodyDiv w:val="1"/>
      <w:marLeft w:val="0"/>
      <w:marRight w:val="0"/>
      <w:marTop w:val="0"/>
      <w:marBottom w:val="0"/>
      <w:divBdr>
        <w:top w:val="none" w:sz="0" w:space="0" w:color="auto"/>
        <w:left w:val="none" w:sz="0" w:space="0" w:color="auto"/>
        <w:bottom w:val="none" w:sz="0" w:space="0" w:color="auto"/>
        <w:right w:val="none" w:sz="0" w:space="0" w:color="auto"/>
      </w:divBdr>
      <w:divsChild>
        <w:div w:id="1856534011">
          <w:marLeft w:val="0"/>
          <w:marRight w:val="0"/>
          <w:marTop w:val="0"/>
          <w:marBottom w:val="0"/>
          <w:divBdr>
            <w:top w:val="none" w:sz="0" w:space="0" w:color="auto"/>
            <w:left w:val="none" w:sz="0" w:space="0" w:color="auto"/>
            <w:bottom w:val="none" w:sz="0" w:space="0" w:color="auto"/>
            <w:right w:val="none" w:sz="0" w:space="0" w:color="auto"/>
          </w:divBdr>
        </w:div>
      </w:divsChild>
    </w:div>
    <w:div w:id="1054743790">
      <w:bodyDiv w:val="1"/>
      <w:marLeft w:val="0"/>
      <w:marRight w:val="0"/>
      <w:marTop w:val="0"/>
      <w:marBottom w:val="0"/>
      <w:divBdr>
        <w:top w:val="none" w:sz="0" w:space="0" w:color="auto"/>
        <w:left w:val="none" w:sz="0" w:space="0" w:color="auto"/>
        <w:bottom w:val="none" w:sz="0" w:space="0" w:color="auto"/>
        <w:right w:val="none" w:sz="0" w:space="0" w:color="auto"/>
      </w:divBdr>
    </w:div>
    <w:div w:id="1055353489">
      <w:bodyDiv w:val="1"/>
      <w:marLeft w:val="0"/>
      <w:marRight w:val="0"/>
      <w:marTop w:val="0"/>
      <w:marBottom w:val="0"/>
      <w:divBdr>
        <w:top w:val="none" w:sz="0" w:space="0" w:color="auto"/>
        <w:left w:val="none" w:sz="0" w:space="0" w:color="auto"/>
        <w:bottom w:val="none" w:sz="0" w:space="0" w:color="auto"/>
        <w:right w:val="none" w:sz="0" w:space="0" w:color="auto"/>
      </w:divBdr>
    </w:div>
    <w:div w:id="1060790343">
      <w:bodyDiv w:val="1"/>
      <w:marLeft w:val="0"/>
      <w:marRight w:val="0"/>
      <w:marTop w:val="0"/>
      <w:marBottom w:val="0"/>
      <w:divBdr>
        <w:top w:val="none" w:sz="0" w:space="0" w:color="auto"/>
        <w:left w:val="none" w:sz="0" w:space="0" w:color="auto"/>
        <w:bottom w:val="none" w:sz="0" w:space="0" w:color="auto"/>
        <w:right w:val="none" w:sz="0" w:space="0" w:color="auto"/>
      </w:divBdr>
    </w:div>
    <w:div w:id="1063063676">
      <w:bodyDiv w:val="1"/>
      <w:marLeft w:val="0"/>
      <w:marRight w:val="0"/>
      <w:marTop w:val="0"/>
      <w:marBottom w:val="0"/>
      <w:divBdr>
        <w:top w:val="none" w:sz="0" w:space="0" w:color="auto"/>
        <w:left w:val="none" w:sz="0" w:space="0" w:color="auto"/>
        <w:bottom w:val="none" w:sz="0" w:space="0" w:color="auto"/>
        <w:right w:val="none" w:sz="0" w:space="0" w:color="auto"/>
      </w:divBdr>
    </w:div>
    <w:div w:id="1064066030">
      <w:bodyDiv w:val="1"/>
      <w:marLeft w:val="0"/>
      <w:marRight w:val="0"/>
      <w:marTop w:val="0"/>
      <w:marBottom w:val="0"/>
      <w:divBdr>
        <w:top w:val="none" w:sz="0" w:space="0" w:color="auto"/>
        <w:left w:val="none" w:sz="0" w:space="0" w:color="auto"/>
        <w:bottom w:val="none" w:sz="0" w:space="0" w:color="auto"/>
        <w:right w:val="none" w:sz="0" w:space="0" w:color="auto"/>
      </w:divBdr>
      <w:divsChild>
        <w:div w:id="2011329099">
          <w:marLeft w:val="0"/>
          <w:marRight w:val="0"/>
          <w:marTop w:val="0"/>
          <w:marBottom w:val="0"/>
          <w:divBdr>
            <w:top w:val="none" w:sz="0" w:space="0" w:color="auto"/>
            <w:left w:val="none" w:sz="0" w:space="0" w:color="auto"/>
            <w:bottom w:val="none" w:sz="0" w:space="0" w:color="auto"/>
            <w:right w:val="none" w:sz="0" w:space="0" w:color="auto"/>
          </w:divBdr>
          <w:divsChild>
            <w:div w:id="792090243">
              <w:marLeft w:val="0"/>
              <w:marRight w:val="0"/>
              <w:marTop w:val="0"/>
              <w:marBottom w:val="0"/>
              <w:divBdr>
                <w:top w:val="none" w:sz="0" w:space="0" w:color="auto"/>
                <w:left w:val="none" w:sz="0" w:space="0" w:color="auto"/>
                <w:bottom w:val="none" w:sz="0" w:space="0" w:color="auto"/>
                <w:right w:val="none" w:sz="0" w:space="0" w:color="auto"/>
              </w:divBdr>
            </w:div>
          </w:divsChild>
        </w:div>
        <w:div w:id="1462308796">
          <w:marLeft w:val="0"/>
          <w:marRight w:val="0"/>
          <w:marTop w:val="0"/>
          <w:marBottom w:val="0"/>
          <w:divBdr>
            <w:top w:val="none" w:sz="0" w:space="0" w:color="auto"/>
            <w:left w:val="none" w:sz="0" w:space="0" w:color="auto"/>
            <w:bottom w:val="none" w:sz="0" w:space="0" w:color="auto"/>
            <w:right w:val="none" w:sz="0" w:space="0" w:color="auto"/>
          </w:divBdr>
          <w:divsChild>
            <w:div w:id="1671981422">
              <w:marLeft w:val="0"/>
              <w:marRight w:val="0"/>
              <w:marTop w:val="0"/>
              <w:marBottom w:val="0"/>
              <w:divBdr>
                <w:top w:val="none" w:sz="0" w:space="0" w:color="auto"/>
                <w:left w:val="none" w:sz="0" w:space="0" w:color="auto"/>
                <w:bottom w:val="none" w:sz="0" w:space="0" w:color="auto"/>
                <w:right w:val="none" w:sz="0" w:space="0" w:color="auto"/>
              </w:divBdr>
            </w:div>
          </w:divsChild>
        </w:div>
        <w:div w:id="300035395">
          <w:marLeft w:val="0"/>
          <w:marRight w:val="0"/>
          <w:marTop w:val="0"/>
          <w:marBottom w:val="0"/>
          <w:divBdr>
            <w:top w:val="none" w:sz="0" w:space="0" w:color="auto"/>
            <w:left w:val="none" w:sz="0" w:space="0" w:color="auto"/>
            <w:bottom w:val="none" w:sz="0" w:space="0" w:color="auto"/>
            <w:right w:val="none" w:sz="0" w:space="0" w:color="auto"/>
          </w:divBdr>
          <w:divsChild>
            <w:div w:id="782849497">
              <w:marLeft w:val="0"/>
              <w:marRight w:val="0"/>
              <w:marTop w:val="0"/>
              <w:marBottom w:val="0"/>
              <w:divBdr>
                <w:top w:val="none" w:sz="0" w:space="0" w:color="auto"/>
                <w:left w:val="none" w:sz="0" w:space="0" w:color="auto"/>
                <w:bottom w:val="none" w:sz="0" w:space="0" w:color="auto"/>
                <w:right w:val="none" w:sz="0" w:space="0" w:color="auto"/>
              </w:divBdr>
            </w:div>
          </w:divsChild>
        </w:div>
        <w:div w:id="370114260">
          <w:marLeft w:val="0"/>
          <w:marRight w:val="0"/>
          <w:marTop w:val="0"/>
          <w:marBottom w:val="0"/>
          <w:divBdr>
            <w:top w:val="none" w:sz="0" w:space="0" w:color="auto"/>
            <w:left w:val="none" w:sz="0" w:space="0" w:color="auto"/>
            <w:bottom w:val="none" w:sz="0" w:space="0" w:color="auto"/>
            <w:right w:val="none" w:sz="0" w:space="0" w:color="auto"/>
          </w:divBdr>
          <w:divsChild>
            <w:div w:id="1725595350">
              <w:marLeft w:val="0"/>
              <w:marRight w:val="0"/>
              <w:marTop w:val="0"/>
              <w:marBottom w:val="0"/>
              <w:divBdr>
                <w:top w:val="none" w:sz="0" w:space="0" w:color="auto"/>
                <w:left w:val="none" w:sz="0" w:space="0" w:color="auto"/>
                <w:bottom w:val="none" w:sz="0" w:space="0" w:color="auto"/>
                <w:right w:val="none" w:sz="0" w:space="0" w:color="auto"/>
              </w:divBdr>
            </w:div>
          </w:divsChild>
        </w:div>
        <w:div w:id="1913662721">
          <w:marLeft w:val="0"/>
          <w:marRight w:val="0"/>
          <w:marTop w:val="0"/>
          <w:marBottom w:val="0"/>
          <w:divBdr>
            <w:top w:val="none" w:sz="0" w:space="0" w:color="auto"/>
            <w:left w:val="none" w:sz="0" w:space="0" w:color="auto"/>
            <w:bottom w:val="none" w:sz="0" w:space="0" w:color="auto"/>
            <w:right w:val="none" w:sz="0" w:space="0" w:color="auto"/>
          </w:divBdr>
          <w:divsChild>
            <w:div w:id="1107310385">
              <w:marLeft w:val="0"/>
              <w:marRight w:val="0"/>
              <w:marTop w:val="0"/>
              <w:marBottom w:val="0"/>
              <w:divBdr>
                <w:top w:val="none" w:sz="0" w:space="0" w:color="auto"/>
                <w:left w:val="none" w:sz="0" w:space="0" w:color="auto"/>
                <w:bottom w:val="none" w:sz="0" w:space="0" w:color="auto"/>
                <w:right w:val="none" w:sz="0" w:space="0" w:color="auto"/>
              </w:divBdr>
            </w:div>
          </w:divsChild>
        </w:div>
        <w:div w:id="663238211">
          <w:marLeft w:val="0"/>
          <w:marRight w:val="0"/>
          <w:marTop w:val="0"/>
          <w:marBottom w:val="0"/>
          <w:divBdr>
            <w:top w:val="none" w:sz="0" w:space="0" w:color="auto"/>
            <w:left w:val="none" w:sz="0" w:space="0" w:color="auto"/>
            <w:bottom w:val="none" w:sz="0" w:space="0" w:color="auto"/>
            <w:right w:val="none" w:sz="0" w:space="0" w:color="auto"/>
          </w:divBdr>
          <w:divsChild>
            <w:div w:id="532696284">
              <w:marLeft w:val="0"/>
              <w:marRight w:val="0"/>
              <w:marTop w:val="0"/>
              <w:marBottom w:val="0"/>
              <w:divBdr>
                <w:top w:val="none" w:sz="0" w:space="0" w:color="auto"/>
                <w:left w:val="none" w:sz="0" w:space="0" w:color="auto"/>
                <w:bottom w:val="none" w:sz="0" w:space="0" w:color="auto"/>
                <w:right w:val="none" w:sz="0" w:space="0" w:color="auto"/>
              </w:divBdr>
            </w:div>
          </w:divsChild>
        </w:div>
        <w:div w:id="485246581">
          <w:marLeft w:val="0"/>
          <w:marRight w:val="0"/>
          <w:marTop w:val="0"/>
          <w:marBottom w:val="0"/>
          <w:divBdr>
            <w:top w:val="none" w:sz="0" w:space="0" w:color="auto"/>
            <w:left w:val="none" w:sz="0" w:space="0" w:color="auto"/>
            <w:bottom w:val="none" w:sz="0" w:space="0" w:color="auto"/>
            <w:right w:val="none" w:sz="0" w:space="0" w:color="auto"/>
          </w:divBdr>
          <w:divsChild>
            <w:div w:id="788165471">
              <w:marLeft w:val="0"/>
              <w:marRight w:val="0"/>
              <w:marTop w:val="0"/>
              <w:marBottom w:val="0"/>
              <w:divBdr>
                <w:top w:val="none" w:sz="0" w:space="0" w:color="auto"/>
                <w:left w:val="none" w:sz="0" w:space="0" w:color="auto"/>
                <w:bottom w:val="none" w:sz="0" w:space="0" w:color="auto"/>
                <w:right w:val="none" w:sz="0" w:space="0" w:color="auto"/>
              </w:divBdr>
            </w:div>
          </w:divsChild>
        </w:div>
        <w:div w:id="753473520">
          <w:marLeft w:val="0"/>
          <w:marRight w:val="0"/>
          <w:marTop w:val="0"/>
          <w:marBottom w:val="0"/>
          <w:divBdr>
            <w:top w:val="none" w:sz="0" w:space="0" w:color="auto"/>
            <w:left w:val="none" w:sz="0" w:space="0" w:color="auto"/>
            <w:bottom w:val="none" w:sz="0" w:space="0" w:color="auto"/>
            <w:right w:val="none" w:sz="0" w:space="0" w:color="auto"/>
          </w:divBdr>
          <w:divsChild>
            <w:div w:id="304941558">
              <w:marLeft w:val="0"/>
              <w:marRight w:val="0"/>
              <w:marTop w:val="0"/>
              <w:marBottom w:val="0"/>
              <w:divBdr>
                <w:top w:val="none" w:sz="0" w:space="0" w:color="auto"/>
                <w:left w:val="none" w:sz="0" w:space="0" w:color="auto"/>
                <w:bottom w:val="none" w:sz="0" w:space="0" w:color="auto"/>
                <w:right w:val="none" w:sz="0" w:space="0" w:color="auto"/>
              </w:divBdr>
            </w:div>
          </w:divsChild>
        </w:div>
        <w:div w:id="979849625">
          <w:marLeft w:val="0"/>
          <w:marRight w:val="0"/>
          <w:marTop w:val="0"/>
          <w:marBottom w:val="0"/>
          <w:divBdr>
            <w:top w:val="none" w:sz="0" w:space="0" w:color="auto"/>
            <w:left w:val="none" w:sz="0" w:space="0" w:color="auto"/>
            <w:bottom w:val="none" w:sz="0" w:space="0" w:color="auto"/>
            <w:right w:val="none" w:sz="0" w:space="0" w:color="auto"/>
          </w:divBdr>
          <w:divsChild>
            <w:div w:id="1538816420">
              <w:marLeft w:val="0"/>
              <w:marRight w:val="0"/>
              <w:marTop w:val="0"/>
              <w:marBottom w:val="0"/>
              <w:divBdr>
                <w:top w:val="none" w:sz="0" w:space="0" w:color="auto"/>
                <w:left w:val="none" w:sz="0" w:space="0" w:color="auto"/>
                <w:bottom w:val="none" w:sz="0" w:space="0" w:color="auto"/>
                <w:right w:val="none" w:sz="0" w:space="0" w:color="auto"/>
              </w:divBdr>
            </w:div>
          </w:divsChild>
        </w:div>
        <w:div w:id="1602300459">
          <w:marLeft w:val="0"/>
          <w:marRight w:val="0"/>
          <w:marTop w:val="0"/>
          <w:marBottom w:val="0"/>
          <w:divBdr>
            <w:top w:val="none" w:sz="0" w:space="0" w:color="auto"/>
            <w:left w:val="none" w:sz="0" w:space="0" w:color="auto"/>
            <w:bottom w:val="none" w:sz="0" w:space="0" w:color="auto"/>
            <w:right w:val="none" w:sz="0" w:space="0" w:color="auto"/>
          </w:divBdr>
          <w:divsChild>
            <w:div w:id="2002350184">
              <w:marLeft w:val="0"/>
              <w:marRight w:val="0"/>
              <w:marTop w:val="0"/>
              <w:marBottom w:val="0"/>
              <w:divBdr>
                <w:top w:val="none" w:sz="0" w:space="0" w:color="auto"/>
                <w:left w:val="none" w:sz="0" w:space="0" w:color="auto"/>
                <w:bottom w:val="none" w:sz="0" w:space="0" w:color="auto"/>
                <w:right w:val="none" w:sz="0" w:space="0" w:color="auto"/>
              </w:divBdr>
            </w:div>
          </w:divsChild>
        </w:div>
        <w:div w:id="1040788670">
          <w:marLeft w:val="0"/>
          <w:marRight w:val="0"/>
          <w:marTop w:val="0"/>
          <w:marBottom w:val="0"/>
          <w:divBdr>
            <w:top w:val="none" w:sz="0" w:space="0" w:color="auto"/>
            <w:left w:val="none" w:sz="0" w:space="0" w:color="auto"/>
            <w:bottom w:val="none" w:sz="0" w:space="0" w:color="auto"/>
            <w:right w:val="none" w:sz="0" w:space="0" w:color="auto"/>
          </w:divBdr>
          <w:divsChild>
            <w:div w:id="1136875264">
              <w:marLeft w:val="0"/>
              <w:marRight w:val="0"/>
              <w:marTop w:val="0"/>
              <w:marBottom w:val="0"/>
              <w:divBdr>
                <w:top w:val="none" w:sz="0" w:space="0" w:color="auto"/>
                <w:left w:val="none" w:sz="0" w:space="0" w:color="auto"/>
                <w:bottom w:val="none" w:sz="0" w:space="0" w:color="auto"/>
                <w:right w:val="none" w:sz="0" w:space="0" w:color="auto"/>
              </w:divBdr>
            </w:div>
          </w:divsChild>
        </w:div>
        <w:div w:id="2062098907">
          <w:marLeft w:val="0"/>
          <w:marRight w:val="0"/>
          <w:marTop w:val="0"/>
          <w:marBottom w:val="0"/>
          <w:divBdr>
            <w:top w:val="none" w:sz="0" w:space="0" w:color="auto"/>
            <w:left w:val="none" w:sz="0" w:space="0" w:color="auto"/>
            <w:bottom w:val="none" w:sz="0" w:space="0" w:color="auto"/>
            <w:right w:val="none" w:sz="0" w:space="0" w:color="auto"/>
          </w:divBdr>
          <w:divsChild>
            <w:div w:id="292171906">
              <w:marLeft w:val="0"/>
              <w:marRight w:val="0"/>
              <w:marTop w:val="0"/>
              <w:marBottom w:val="0"/>
              <w:divBdr>
                <w:top w:val="none" w:sz="0" w:space="0" w:color="auto"/>
                <w:left w:val="none" w:sz="0" w:space="0" w:color="auto"/>
                <w:bottom w:val="none" w:sz="0" w:space="0" w:color="auto"/>
                <w:right w:val="none" w:sz="0" w:space="0" w:color="auto"/>
              </w:divBdr>
            </w:div>
          </w:divsChild>
        </w:div>
        <w:div w:id="119348979">
          <w:marLeft w:val="0"/>
          <w:marRight w:val="0"/>
          <w:marTop w:val="0"/>
          <w:marBottom w:val="0"/>
          <w:divBdr>
            <w:top w:val="none" w:sz="0" w:space="0" w:color="auto"/>
            <w:left w:val="none" w:sz="0" w:space="0" w:color="auto"/>
            <w:bottom w:val="none" w:sz="0" w:space="0" w:color="auto"/>
            <w:right w:val="none" w:sz="0" w:space="0" w:color="auto"/>
          </w:divBdr>
          <w:divsChild>
            <w:div w:id="1802461154">
              <w:marLeft w:val="0"/>
              <w:marRight w:val="0"/>
              <w:marTop w:val="0"/>
              <w:marBottom w:val="0"/>
              <w:divBdr>
                <w:top w:val="none" w:sz="0" w:space="0" w:color="auto"/>
                <w:left w:val="none" w:sz="0" w:space="0" w:color="auto"/>
                <w:bottom w:val="none" w:sz="0" w:space="0" w:color="auto"/>
                <w:right w:val="none" w:sz="0" w:space="0" w:color="auto"/>
              </w:divBdr>
            </w:div>
          </w:divsChild>
        </w:div>
        <w:div w:id="1595819827">
          <w:marLeft w:val="0"/>
          <w:marRight w:val="0"/>
          <w:marTop w:val="0"/>
          <w:marBottom w:val="0"/>
          <w:divBdr>
            <w:top w:val="none" w:sz="0" w:space="0" w:color="auto"/>
            <w:left w:val="none" w:sz="0" w:space="0" w:color="auto"/>
            <w:bottom w:val="none" w:sz="0" w:space="0" w:color="auto"/>
            <w:right w:val="none" w:sz="0" w:space="0" w:color="auto"/>
          </w:divBdr>
          <w:divsChild>
            <w:div w:id="1487890352">
              <w:marLeft w:val="0"/>
              <w:marRight w:val="0"/>
              <w:marTop w:val="0"/>
              <w:marBottom w:val="0"/>
              <w:divBdr>
                <w:top w:val="none" w:sz="0" w:space="0" w:color="auto"/>
                <w:left w:val="none" w:sz="0" w:space="0" w:color="auto"/>
                <w:bottom w:val="none" w:sz="0" w:space="0" w:color="auto"/>
                <w:right w:val="none" w:sz="0" w:space="0" w:color="auto"/>
              </w:divBdr>
            </w:div>
          </w:divsChild>
        </w:div>
        <w:div w:id="1459450081">
          <w:marLeft w:val="0"/>
          <w:marRight w:val="0"/>
          <w:marTop w:val="0"/>
          <w:marBottom w:val="0"/>
          <w:divBdr>
            <w:top w:val="none" w:sz="0" w:space="0" w:color="auto"/>
            <w:left w:val="none" w:sz="0" w:space="0" w:color="auto"/>
            <w:bottom w:val="none" w:sz="0" w:space="0" w:color="auto"/>
            <w:right w:val="none" w:sz="0" w:space="0" w:color="auto"/>
          </w:divBdr>
          <w:divsChild>
            <w:div w:id="8721879">
              <w:marLeft w:val="0"/>
              <w:marRight w:val="0"/>
              <w:marTop w:val="0"/>
              <w:marBottom w:val="0"/>
              <w:divBdr>
                <w:top w:val="none" w:sz="0" w:space="0" w:color="auto"/>
                <w:left w:val="none" w:sz="0" w:space="0" w:color="auto"/>
                <w:bottom w:val="none" w:sz="0" w:space="0" w:color="auto"/>
                <w:right w:val="none" w:sz="0" w:space="0" w:color="auto"/>
              </w:divBdr>
            </w:div>
          </w:divsChild>
        </w:div>
        <w:div w:id="320500004">
          <w:marLeft w:val="0"/>
          <w:marRight w:val="0"/>
          <w:marTop w:val="0"/>
          <w:marBottom w:val="0"/>
          <w:divBdr>
            <w:top w:val="none" w:sz="0" w:space="0" w:color="auto"/>
            <w:left w:val="none" w:sz="0" w:space="0" w:color="auto"/>
            <w:bottom w:val="none" w:sz="0" w:space="0" w:color="auto"/>
            <w:right w:val="none" w:sz="0" w:space="0" w:color="auto"/>
          </w:divBdr>
          <w:divsChild>
            <w:div w:id="110443531">
              <w:marLeft w:val="0"/>
              <w:marRight w:val="0"/>
              <w:marTop w:val="0"/>
              <w:marBottom w:val="0"/>
              <w:divBdr>
                <w:top w:val="none" w:sz="0" w:space="0" w:color="auto"/>
                <w:left w:val="none" w:sz="0" w:space="0" w:color="auto"/>
                <w:bottom w:val="none" w:sz="0" w:space="0" w:color="auto"/>
                <w:right w:val="none" w:sz="0" w:space="0" w:color="auto"/>
              </w:divBdr>
            </w:div>
          </w:divsChild>
        </w:div>
        <w:div w:id="2056808240">
          <w:marLeft w:val="0"/>
          <w:marRight w:val="0"/>
          <w:marTop w:val="0"/>
          <w:marBottom w:val="0"/>
          <w:divBdr>
            <w:top w:val="none" w:sz="0" w:space="0" w:color="auto"/>
            <w:left w:val="none" w:sz="0" w:space="0" w:color="auto"/>
            <w:bottom w:val="none" w:sz="0" w:space="0" w:color="auto"/>
            <w:right w:val="none" w:sz="0" w:space="0" w:color="auto"/>
          </w:divBdr>
          <w:divsChild>
            <w:div w:id="549195173">
              <w:marLeft w:val="0"/>
              <w:marRight w:val="0"/>
              <w:marTop w:val="0"/>
              <w:marBottom w:val="0"/>
              <w:divBdr>
                <w:top w:val="none" w:sz="0" w:space="0" w:color="auto"/>
                <w:left w:val="none" w:sz="0" w:space="0" w:color="auto"/>
                <w:bottom w:val="none" w:sz="0" w:space="0" w:color="auto"/>
                <w:right w:val="none" w:sz="0" w:space="0" w:color="auto"/>
              </w:divBdr>
            </w:div>
          </w:divsChild>
        </w:div>
        <w:div w:id="137770213">
          <w:marLeft w:val="0"/>
          <w:marRight w:val="0"/>
          <w:marTop w:val="0"/>
          <w:marBottom w:val="0"/>
          <w:divBdr>
            <w:top w:val="none" w:sz="0" w:space="0" w:color="auto"/>
            <w:left w:val="none" w:sz="0" w:space="0" w:color="auto"/>
            <w:bottom w:val="none" w:sz="0" w:space="0" w:color="auto"/>
            <w:right w:val="none" w:sz="0" w:space="0" w:color="auto"/>
          </w:divBdr>
          <w:divsChild>
            <w:div w:id="1406953843">
              <w:marLeft w:val="0"/>
              <w:marRight w:val="0"/>
              <w:marTop w:val="0"/>
              <w:marBottom w:val="0"/>
              <w:divBdr>
                <w:top w:val="none" w:sz="0" w:space="0" w:color="auto"/>
                <w:left w:val="none" w:sz="0" w:space="0" w:color="auto"/>
                <w:bottom w:val="none" w:sz="0" w:space="0" w:color="auto"/>
                <w:right w:val="none" w:sz="0" w:space="0" w:color="auto"/>
              </w:divBdr>
            </w:div>
          </w:divsChild>
        </w:div>
        <w:div w:id="578976642">
          <w:marLeft w:val="0"/>
          <w:marRight w:val="0"/>
          <w:marTop w:val="0"/>
          <w:marBottom w:val="0"/>
          <w:divBdr>
            <w:top w:val="none" w:sz="0" w:space="0" w:color="auto"/>
            <w:left w:val="none" w:sz="0" w:space="0" w:color="auto"/>
            <w:bottom w:val="none" w:sz="0" w:space="0" w:color="auto"/>
            <w:right w:val="none" w:sz="0" w:space="0" w:color="auto"/>
          </w:divBdr>
          <w:divsChild>
            <w:div w:id="1042291581">
              <w:marLeft w:val="0"/>
              <w:marRight w:val="0"/>
              <w:marTop w:val="0"/>
              <w:marBottom w:val="0"/>
              <w:divBdr>
                <w:top w:val="none" w:sz="0" w:space="0" w:color="auto"/>
                <w:left w:val="none" w:sz="0" w:space="0" w:color="auto"/>
                <w:bottom w:val="none" w:sz="0" w:space="0" w:color="auto"/>
                <w:right w:val="none" w:sz="0" w:space="0" w:color="auto"/>
              </w:divBdr>
            </w:div>
          </w:divsChild>
        </w:div>
        <w:div w:id="1933779693">
          <w:marLeft w:val="0"/>
          <w:marRight w:val="0"/>
          <w:marTop w:val="0"/>
          <w:marBottom w:val="0"/>
          <w:divBdr>
            <w:top w:val="none" w:sz="0" w:space="0" w:color="auto"/>
            <w:left w:val="none" w:sz="0" w:space="0" w:color="auto"/>
            <w:bottom w:val="none" w:sz="0" w:space="0" w:color="auto"/>
            <w:right w:val="none" w:sz="0" w:space="0" w:color="auto"/>
          </w:divBdr>
          <w:divsChild>
            <w:div w:id="1780027319">
              <w:marLeft w:val="0"/>
              <w:marRight w:val="0"/>
              <w:marTop w:val="0"/>
              <w:marBottom w:val="0"/>
              <w:divBdr>
                <w:top w:val="none" w:sz="0" w:space="0" w:color="auto"/>
                <w:left w:val="none" w:sz="0" w:space="0" w:color="auto"/>
                <w:bottom w:val="none" w:sz="0" w:space="0" w:color="auto"/>
                <w:right w:val="none" w:sz="0" w:space="0" w:color="auto"/>
              </w:divBdr>
            </w:div>
          </w:divsChild>
        </w:div>
        <w:div w:id="867762543">
          <w:marLeft w:val="0"/>
          <w:marRight w:val="0"/>
          <w:marTop w:val="0"/>
          <w:marBottom w:val="0"/>
          <w:divBdr>
            <w:top w:val="none" w:sz="0" w:space="0" w:color="auto"/>
            <w:left w:val="none" w:sz="0" w:space="0" w:color="auto"/>
            <w:bottom w:val="none" w:sz="0" w:space="0" w:color="auto"/>
            <w:right w:val="none" w:sz="0" w:space="0" w:color="auto"/>
          </w:divBdr>
          <w:divsChild>
            <w:div w:id="2104260694">
              <w:marLeft w:val="0"/>
              <w:marRight w:val="0"/>
              <w:marTop w:val="0"/>
              <w:marBottom w:val="0"/>
              <w:divBdr>
                <w:top w:val="none" w:sz="0" w:space="0" w:color="auto"/>
                <w:left w:val="none" w:sz="0" w:space="0" w:color="auto"/>
                <w:bottom w:val="none" w:sz="0" w:space="0" w:color="auto"/>
                <w:right w:val="none" w:sz="0" w:space="0" w:color="auto"/>
              </w:divBdr>
            </w:div>
          </w:divsChild>
        </w:div>
        <w:div w:id="912398224">
          <w:marLeft w:val="0"/>
          <w:marRight w:val="0"/>
          <w:marTop w:val="0"/>
          <w:marBottom w:val="0"/>
          <w:divBdr>
            <w:top w:val="none" w:sz="0" w:space="0" w:color="auto"/>
            <w:left w:val="none" w:sz="0" w:space="0" w:color="auto"/>
            <w:bottom w:val="none" w:sz="0" w:space="0" w:color="auto"/>
            <w:right w:val="none" w:sz="0" w:space="0" w:color="auto"/>
          </w:divBdr>
          <w:divsChild>
            <w:div w:id="2105297266">
              <w:marLeft w:val="0"/>
              <w:marRight w:val="0"/>
              <w:marTop w:val="0"/>
              <w:marBottom w:val="0"/>
              <w:divBdr>
                <w:top w:val="none" w:sz="0" w:space="0" w:color="auto"/>
                <w:left w:val="none" w:sz="0" w:space="0" w:color="auto"/>
                <w:bottom w:val="none" w:sz="0" w:space="0" w:color="auto"/>
                <w:right w:val="none" w:sz="0" w:space="0" w:color="auto"/>
              </w:divBdr>
            </w:div>
          </w:divsChild>
        </w:div>
        <w:div w:id="1121194322">
          <w:marLeft w:val="0"/>
          <w:marRight w:val="0"/>
          <w:marTop w:val="0"/>
          <w:marBottom w:val="0"/>
          <w:divBdr>
            <w:top w:val="none" w:sz="0" w:space="0" w:color="auto"/>
            <w:left w:val="none" w:sz="0" w:space="0" w:color="auto"/>
            <w:bottom w:val="none" w:sz="0" w:space="0" w:color="auto"/>
            <w:right w:val="none" w:sz="0" w:space="0" w:color="auto"/>
          </w:divBdr>
          <w:divsChild>
            <w:div w:id="1930964200">
              <w:marLeft w:val="0"/>
              <w:marRight w:val="0"/>
              <w:marTop w:val="0"/>
              <w:marBottom w:val="0"/>
              <w:divBdr>
                <w:top w:val="none" w:sz="0" w:space="0" w:color="auto"/>
                <w:left w:val="none" w:sz="0" w:space="0" w:color="auto"/>
                <w:bottom w:val="none" w:sz="0" w:space="0" w:color="auto"/>
                <w:right w:val="none" w:sz="0" w:space="0" w:color="auto"/>
              </w:divBdr>
            </w:div>
          </w:divsChild>
        </w:div>
        <w:div w:id="1023896829">
          <w:marLeft w:val="0"/>
          <w:marRight w:val="0"/>
          <w:marTop w:val="0"/>
          <w:marBottom w:val="0"/>
          <w:divBdr>
            <w:top w:val="none" w:sz="0" w:space="0" w:color="auto"/>
            <w:left w:val="none" w:sz="0" w:space="0" w:color="auto"/>
            <w:bottom w:val="none" w:sz="0" w:space="0" w:color="auto"/>
            <w:right w:val="none" w:sz="0" w:space="0" w:color="auto"/>
          </w:divBdr>
          <w:divsChild>
            <w:div w:id="19934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649">
      <w:bodyDiv w:val="1"/>
      <w:marLeft w:val="0"/>
      <w:marRight w:val="0"/>
      <w:marTop w:val="0"/>
      <w:marBottom w:val="0"/>
      <w:divBdr>
        <w:top w:val="none" w:sz="0" w:space="0" w:color="auto"/>
        <w:left w:val="none" w:sz="0" w:space="0" w:color="auto"/>
        <w:bottom w:val="none" w:sz="0" w:space="0" w:color="auto"/>
        <w:right w:val="none" w:sz="0" w:space="0" w:color="auto"/>
      </w:divBdr>
    </w:div>
    <w:div w:id="1071779698">
      <w:bodyDiv w:val="1"/>
      <w:marLeft w:val="0"/>
      <w:marRight w:val="0"/>
      <w:marTop w:val="0"/>
      <w:marBottom w:val="0"/>
      <w:divBdr>
        <w:top w:val="none" w:sz="0" w:space="0" w:color="auto"/>
        <w:left w:val="none" w:sz="0" w:space="0" w:color="auto"/>
        <w:bottom w:val="none" w:sz="0" w:space="0" w:color="auto"/>
        <w:right w:val="none" w:sz="0" w:space="0" w:color="auto"/>
      </w:divBdr>
    </w:div>
    <w:div w:id="1074350933">
      <w:bodyDiv w:val="1"/>
      <w:marLeft w:val="0"/>
      <w:marRight w:val="0"/>
      <w:marTop w:val="0"/>
      <w:marBottom w:val="0"/>
      <w:divBdr>
        <w:top w:val="none" w:sz="0" w:space="0" w:color="auto"/>
        <w:left w:val="none" w:sz="0" w:space="0" w:color="auto"/>
        <w:bottom w:val="none" w:sz="0" w:space="0" w:color="auto"/>
        <w:right w:val="none" w:sz="0" w:space="0" w:color="auto"/>
      </w:divBdr>
    </w:div>
    <w:div w:id="1079059548">
      <w:bodyDiv w:val="1"/>
      <w:marLeft w:val="0"/>
      <w:marRight w:val="0"/>
      <w:marTop w:val="0"/>
      <w:marBottom w:val="0"/>
      <w:divBdr>
        <w:top w:val="none" w:sz="0" w:space="0" w:color="auto"/>
        <w:left w:val="none" w:sz="0" w:space="0" w:color="auto"/>
        <w:bottom w:val="none" w:sz="0" w:space="0" w:color="auto"/>
        <w:right w:val="none" w:sz="0" w:space="0" w:color="auto"/>
      </w:divBdr>
    </w:div>
    <w:div w:id="1079791335">
      <w:bodyDiv w:val="1"/>
      <w:marLeft w:val="0"/>
      <w:marRight w:val="0"/>
      <w:marTop w:val="0"/>
      <w:marBottom w:val="0"/>
      <w:divBdr>
        <w:top w:val="none" w:sz="0" w:space="0" w:color="auto"/>
        <w:left w:val="none" w:sz="0" w:space="0" w:color="auto"/>
        <w:bottom w:val="none" w:sz="0" w:space="0" w:color="auto"/>
        <w:right w:val="none" w:sz="0" w:space="0" w:color="auto"/>
      </w:divBdr>
    </w:div>
    <w:div w:id="1080711238">
      <w:bodyDiv w:val="1"/>
      <w:marLeft w:val="0"/>
      <w:marRight w:val="0"/>
      <w:marTop w:val="0"/>
      <w:marBottom w:val="0"/>
      <w:divBdr>
        <w:top w:val="none" w:sz="0" w:space="0" w:color="auto"/>
        <w:left w:val="none" w:sz="0" w:space="0" w:color="auto"/>
        <w:bottom w:val="none" w:sz="0" w:space="0" w:color="auto"/>
        <w:right w:val="none" w:sz="0" w:space="0" w:color="auto"/>
      </w:divBdr>
      <w:divsChild>
        <w:div w:id="1464539152">
          <w:marLeft w:val="0"/>
          <w:marRight w:val="0"/>
          <w:marTop w:val="0"/>
          <w:marBottom w:val="0"/>
          <w:divBdr>
            <w:top w:val="none" w:sz="0" w:space="0" w:color="auto"/>
            <w:left w:val="none" w:sz="0" w:space="0" w:color="auto"/>
            <w:bottom w:val="none" w:sz="0" w:space="0" w:color="auto"/>
            <w:right w:val="none" w:sz="0" w:space="0" w:color="auto"/>
          </w:divBdr>
        </w:div>
        <w:div w:id="766193155">
          <w:marLeft w:val="0"/>
          <w:marRight w:val="0"/>
          <w:marTop w:val="0"/>
          <w:marBottom w:val="0"/>
          <w:divBdr>
            <w:top w:val="none" w:sz="0" w:space="0" w:color="auto"/>
            <w:left w:val="none" w:sz="0" w:space="0" w:color="auto"/>
            <w:bottom w:val="none" w:sz="0" w:space="0" w:color="auto"/>
            <w:right w:val="none" w:sz="0" w:space="0" w:color="auto"/>
          </w:divBdr>
        </w:div>
      </w:divsChild>
    </w:div>
    <w:div w:id="1082410990">
      <w:bodyDiv w:val="1"/>
      <w:marLeft w:val="0"/>
      <w:marRight w:val="0"/>
      <w:marTop w:val="0"/>
      <w:marBottom w:val="0"/>
      <w:divBdr>
        <w:top w:val="none" w:sz="0" w:space="0" w:color="auto"/>
        <w:left w:val="none" w:sz="0" w:space="0" w:color="auto"/>
        <w:bottom w:val="none" w:sz="0" w:space="0" w:color="auto"/>
        <w:right w:val="none" w:sz="0" w:space="0" w:color="auto"/>
      </w:divBdr>
      <w:divsChild>
        <w:div w:id="358549176">
          <w:marLeft w:val="480"/>
          <w:marRight w:val="0"/>
          <w:marTop w:val="0"/>
          <w:marBottom w:val="0"/>
          <w:divBdr>
            <w:top w:val="none" w:sz="0" w:space="0" w:color="auto"/>
            <w:left w:val="none" w:sz="0" w:space="0" w:color="auto"/>
            <w:bottom w:val="none" w:sz="0" w:space="0" w:color="auto"/>
            <w:right w:val="none" w:sz="0" w:space="0" w:color="auto"/>
          </w:divBdr>
          <w:divsChild>
            <w:div w:id="112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1257">
      <w:bodyDiv w:val="1"/>
      <w:marLeft w:val="0"/>
      <w:marRight w:val="0"/>
      <w:marTop w:val="0"/>
      <w:marBottom w:val="0"/>
      <w:divBdr>
        <w:top w:val="none" w:sz="0" w:space="0" w:color="auto"/>
        <w:left w:val="none" w:sz="0" w:space="0" w:color="auto"/>
        <w:bottom w:val="none" w:sz="0" w:space="0" w:color="auto"/>
        <w:right w:val="none" w:sz="0" w:space="0" w:color="auto"/>
      </w:divBdr>
    </w:div>
    <w:div w:id="1083649158">
      <w:bodyDiv w:val="1"/>
      <w:marLeft w:val="0"/>
      <w:marRight w:val="0"/>
      <w:marTop w:val="0"/>
      <w:marBottom w:val="0"/>
      <w:divBdr>
        <w:top w:val="none" w:sz="0" w:space="0" w:color="auto"/>
        <w:left w:val="none" w:sz="0" w:space="0" w:color="auto"/>
        <w:bottom w:val="none" w:sz="0" w:space="0" w:color="auto"/>
        <w:right w:val="none" w:sz="0" w:space="0" w:color="auto"/>
      </w:divBdr>
    </w:div>
    <w:div w:id="1120756480">
      <w:bodyDiv w:val="1"/>
      <w:marLeft w:val="0"/>
      <w:marRight w:val="0"/>
      <w:marTop w:val="0"/>
      <w:marBottom w:val="0"/>
      <w:divBdr>
        <w:top w:val="none" w:sz="0" w:space="0" w:color="auto"/>
        <w:left w:val="none" w:sz="0" w:space="0" w:color="auto"/>
        <w:bottom w:val="none" w:sz="0" w:space="0" w:color="auto"/>
        <w:right w:val="none" w:sz="0" w:space="0" w:color="auto"/>
      </w:divBdr>
    </w:div>
    <w:div w:id="1121075221">
      <w:bodyDiv w:val="1"/>
      <w:marLeft w:val="0"/>
      <w:marRight w:val="0"/>
      <w:marTop w:val="0"/>
      <w:marBottom w:val="0"/>
      <w:divBdr>
        <w:top w:val="none" w:sz="0" w:space="0" w:color="auto"/>
        <w:left w:val="none" w:sz="0" w:space="0" w:color="auto"/>
        <w:bottom w:val="none" w:sz="0" w:space="0" w:color="auto"/>
        <w:right w:val="none" w:sz="0" w:space="0" w:color="auto"/>
      </w:divBdr>
    </w:div>
    <w:div w:id="1134248729">
      <w:bodyDiv w:val="1"/>
      <w:marLeft w:val="0"/>
      <w:marRight w:val="0"/>
      <w:marTop w:val="0"/>
      <w:marBottom w:val="0"/>
      <w:divBdr>
        <w:top w:val="none" w:sz="0" w:space="0" w:color="auto"/>
        <w:left w:val="none" w:sz="0" w:space="0" w:color="auto"/>
        <w:bottom w:val="none" w:sz="0" w:space="0" w:color="auto"/>
        <w:right w:val="none" w:sz="0" w:space="0" w:color="auto"/>
      </w:divBdr>
      <w:divsChild>
        <w:div w:id="1959945185">
          <w:marLeft w:val="480"/>
          <w:marRight w:val="0"/>
          <w:marTop w:val="0"/>
          <w:marBottom w:val="0"/>
          <w:divBdr>
            <w:top w:val="none" w:sz="0" w:space="0" w:color="auto"/>
            <w:left w:val="none" w:sz="0" w:space="0" w:color="auto"/>
            <w:bottom w:val="none" w:sz="0" w:space="0" w:color="auto"/>
            <w:right w:val="none" w:sz="0" w:space="0" w:color="auto"/>
          </w:divBdr>
          <w:divsChild>
            <w:div w:id="2391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4229">
      <w:bodyDiv w:val="1"/>
      <w:marLeft w:val="0"/>
      <w:marRight w:val="0"/>
      <w:marTop w:val="0"/>
      <w:marBottom w:val="0"/>
      <w:divBdr>
        <w:top w:val="none" w:sz="0" w:space="0" w:color="auto"/>
        <w:left w:val="none" w:sz="0" w:space="0" w:color="auto"/>
        <w:bottom w:val="none" w:sz="0" w:space="0" w:color="auto"/>
        <w:right w:val="none" w:sz="0" w:space="0" w:color="auto"/>
      </w:divBdr>
    </w:div>
    <w:div w:id="1148743939">
      <w:bodyDiv w:val="1"/>
      <w:marLeft w:val="0"/>
      <w:marRight w:val="0"/>
      <w:marTop w:val="0"/>
      <w:marBottom w:val="0"/>
      <w:divBdr>
        <w:top w:val="none" w:sz="0" w:space="0" w:color="auto"/>
        <w:left w:val="none" w:sz="0" w:space="0" w:color="auto"/>
        <w:bottom w:val="none" w:sz="0" w:space="0" w:color="auto"/>
        <w:right w:val="none" w:sz="0" w:space="0" w:color="auto"/>
      </w:divBdr>
    </w:div>
    <w:div w:id="1154025964">
      <w:bodyDiv w:val="1"/>
      <w:marLeft w:val="0"/>
      <w:marRight w:val="0"/>
      <w:marTop w:val="0"/>
      <w:marBottom w:val="0"/>
      <w:divBdr>
        <w:top w:val="none" w:sz="0" w:space="0" w:color="auto"/>
        <w:left w:val="none" w:sz="0" w:space="0" w:color="auto"/>
        <w:bottom w:val="none" w:sz="0" w:space="0" w:color="auto"/>
        <w:right w:val="none" w:sz="0" w:space="0" w:color="auto"/>
      </w:divBdr>
    </w:div>
    <w:div w:id="1158154556">
      <w:bodyDiv w:val="1"/>
      <w:marLeft w:val="0"/>
      <w:marRight w:val="0"/>
      <w:marTop w:val="0"/>
      <w:marBottom w:val="0"/>
      <w:divBdr>
        <w:top w:val="none" w:sz="0" w:space="0" w:color="auto"/>
        <w:left w:val="none" w:sz="0" w:space="0" w:color="auto"/>
        <w:bottom w:val="none" w:sz="0" w:space="0" w:color="auto"/>
        <w:right w:val="none" w:sz="0" w:space="0" w:color="auto"/>
      </w:divBdr>
    </w:div>
    <w:div w:id="1160731193">
      <w:bodyDiv w:val="1"/>
      <w:marLeft w:val="0"/>
      <w:marRight w:val="0"/>
      <w:marTop w:val="0"/>
      <w:marBottom w:val="0"/>
      <w:divBdr>
        <w:top w:val="none" w:sz="0" w:space="0" w:color="auto"/>
        <w:left w:val="none" w:sz="0" w:space="0" w:color="auto"/>
        <w:bottom w:val="none" w:sz="0" w:space="0" w:color="auto"/>
        <w:right w:val="none" w:sz="0" w:space="0" w:color="auto"/>
      </w:divBdr>
    </w:div>
    <w:div w:id="1164007290">
      <w:bodyDiv w:val="1"/>
      <w:marLeft w:val="0"/>
      <w:marRight w:val="0"/>
      <w:marTop w:val="0"/>
      <w:marBottom w:val="0"/>
      <w:divBdr>
        <w:top w:val="none" w:sz="0" w:space="0" w:color="auto"/>
        <w:left w:val="none" w:sz="0" w:space="0" w:color="auto"/>
        <w:bottom w:val="none" w:sz="0" w:space="0" w:color="auto"/>
        <w:right w:val="none" w:sz="0" w:space="0" w:color="auto"/>
      </w:divBdr>
      <w:divsChild>
        <w:div w:id="682978213">
          <w:marLeft w:val="446"/>
          <w:marRight w:val="0"/>
          <w:marTop w:val="0"/>
          <w:marBottom w:val="120"/>
          <w:divBdr>
            <w:top w:val="none" w:sz="0" w:space="0" w:color="auto"/>
            <w:left w:val="none" w:sz="0" w:space="0" w:color="auto"/>
            <w:bottom w:val="none" w:sz="0" w:space="0" w:color="auto"/>
            <w:right w:val="none" w:sz="0" w:space="0" w:color="auto"/>
          </w:divBdr>
        </w:div>
        <w:div w:id="43330437">
          <w:marLeft w:val="446"/>
          <w:marRight w:val="0"/>
          <w:marTop w:val="0"/>
          <w:marBottom w:val="120"/>
          <w:divBdr>
            <w:top w:val="none" w:sz="0" w:space="0" w:color="auto"/>
            <w:left w:val="none" w:sz="0" w:space="0" w:color="auto"/>
            <w:bottom w:val="none" w:sz="0" w:space="0" w:color="auto"/>
            <w:right w:val="none" w:sz="0" w:space="0" w:color="auto"/>
          </w:divBdr>
        </w:div>
        <w:div w:id="1546604990">
          <w:marLeft w:val="446"/>
          <w:marRight w:val="0"/>
          <w:marTop w:val="0"/>
          <w:marBottom w:val="120"/>
          <w:divBdr>
            <w:top w:val="none" w:sz="0" w:space="0" w:color="auto"/>
            <w:left w:val="none" w:sz="0" w:space="0" w:color="auto"/>
            <w:bottom w:val="none" w:sz="0" w:space="0" w:color="auto"/>
            <w:right w:val="none" w:sz="0" w:space="0" w:color="auto"/>
          </w:divBdr>
        </w:div>
        <w:div w:id="2072844088">
          <w:marLeft w:val="446"/>
          <w:marRight w:val="0"/>
          <w:marTop w:val="0"/>
          <w:marBottom w:val="120"/>
          <w:divBdr>
            <w:top w:val="none" w:sz="0" w:space="0" w:color="auto"/>
            <w:left w:val="none" w:sz="0" w:space="0" w:color="auto"/>
            <w:bottom w:val="none" w:sz="0" w:space="0" w:color="auto"/>
            <w:right w:val="none" w:sz="0" w:space="0" w:color="auto"/>
          </w:divBdr>
        </w:div>
        <w:div w:id="1268081962">
          <w:marLeft w:val="446"/>
          <w:marRight w:val="0"/>
          <w:marTop w:val="0"/>
          <w:marBottom w:val="120"/>
          <w:divBdr>
            <w:top w:val="none" w:sz="0" w:space="0" w:color="auto"/>
            <w:left w:val="none" w:sz="0" w:space="0" w:color="auto"/>
            <w:bottom w:val="none" w:sz="0" w:space="0" w:color="auto"/>
            <w:right w:val="none" w:sz="0" w:space="0" w:color="auto"/>
          </w:divBdr>
        </w:div>
        <w:div w:id="1703438571">
          <w:marLeft w:val="446"/>
          <w:marRight w:val="0"/>
          <w:marTop w:val="0"/>
          <w:marBottom w:val="120"/>
          <w:divBdr>
            <w:top w:val="none" w:sz="0" w:space="0" w:color="auto"/>
            <w:left w:val="none" w:sz="0" w:space="0" w:color="auto"/>
            <w:bottom w:val="none" w:sz="0" w:space="0" w:color="auto"/>
            <w:right w:val="none" w:sz="0" w:space="0" w:color="auto"/>
          </w:divBdr>
        </w:div>
        <w:div w:id="512189991">
          <w:marLeft w:val="446"/>
          <w:marRight w:val="0"/>
          <w:marTop w:val="0"/>
          <w:marBottom w:val="120"/>
          <w:divBdr>
            <w:top w:val="none" w:sz="0" w:space="0" w:color="auto"/>
            <w:left w:val="none" w:sz="0" w:space="0" w:color="auto"/>
            <w:bottom w:val="none" w:sz="0" w:space="0" w:color="auto"/>
            <w:right w:val="none" w:sz="0" w:space="0" w:color="auto"/>
          </w:divBdr>
        </w:div>
        <w:div w:id="898246884">
          <w:marLeft w:val="446"/>
          <w:marRight w:val="0"/>
          <w:marTop w:val="0"/>
          <w:marBottom w:val="120"/>
          <w:divBdr>
            <w:top w:val="none" w:sz="0" w:space="0" w:color="auto"/>
            <w:left w:val="none" w:sz="0" w:space="0" w:color="auto"/>
            <w:bottom w:val="none" w:sz="0" w:space="0" w:color="auto"/>
            <w:right w:val="none" w:sz="0" w:space="0" w:color="auto"/>
          </w:divBdr>
        </w:div>
        <w:div w:id="1731686276">
          <w:marLeft w:val="446"/>
          <w:marRight w:val="0"/>
          <w:marTop w:val="0"/>
          <w:marBottom w:val="120"/>
          <w:divBdr>
            <w:top w:val="none" w:sz="0" w:space="0" w:color="auto"/>
            <w:left w:val="none" w:sz="0" w:space="0" w:color="auto"/>
            <w:bottom w:val="none" w:sz="0" w:space="0" w:color="auto"/>
            <w:right w:val="none" w:sz="0" w:space="0" w:color="auto"/>
          </w:divBdr>
        </w:div>
      </w:divsChild>
    </w:div>
    <w:div w:id="1164391098">
      <w:bodyDiv w:val="1"/>
      <w:marLeft w:val="0"/>
      <w:marRight w:val="0"/>
      <w:marTop w:val="0"/>
      <w:marBottom w:val="0"/>
      <w:divBdr>
        <w:top w:val="none" w:sz="0" w:space="0" w:color="auto"/>
        <w:left w:val="none" w:sz="0" w:space="0" w:color="auto"/>
        <w:bottom w:val="none" w:sz="0" w:space="0" w:color="auto"/>
        <w:right w:val="none" w:sz="0" w:space="0" w:color="auto"/>
      </w:divBdr>
    </w:div>
    <w:div w:id="1165393397">
      <w:bodyDiv w:val="1"/>
      <w:marLeft w:val="0"/>
      <w:marRight w:val="0"/>
      <w:marTop w:val="0"/>
      <w:marBottom w:val="0"/>
      <w:divBdr>
        <w:top w:val="none" w:sz="0" w:space="0" w:color="auto"/>
        <w:left w:val="none" w:sz="0" w:space="0" w:color="auto"/>
        <w:bottom w:val="none" w:sz="0" w:space="0" w:color="auto"/>
        <w:right w:val="none" w:sz="0" w:space="0" w:color="auto"/>
      </w:divBdr>
    </w:div>
    <w:div w:id="1167674306">
      <w:bodyDiv w:val="1"/>
      <w:marLeft w:val="0"/>
      <w:marRight w:val="0"/>
      <w:marTop w:val="0"/>
      <w:marBottom w:val="0"/>
      <w:divBdr>
        <w:top w:val="none" w:sz="0" w:space="0" w:color="auto"/>
        <w:left w:val="none" w:sz="0" w:space="0" w:color="auto"/>
        <w:bottom w:val="none" w:sz="0" w:space="0" w:color="auto"/>
        <w:right w:val="none" w:sz="0" w:space="0" w:color="auto"/>
      </w:divBdr>
    </w:div>
    <w:div w:id="1170483462">
      <w:bodyDiv w:val="1"/>
      <w:marLeft w:val="0"/>
      <w:marRight w:val="0"/>
      <w:marTop w:val="0"/>
      <w:marBottom w:val="0"/>
      <w:divBdr>
        <w:top w:val="none" w:sz="0" w:space="0" w:color="auto"/>
        <w:left w:val="none" w:sz="0" w:space="0" w:color="auto"/>
        <w:bottom w:val="none" w:sz="0" w:space="0" w:color="auto"/>
        <w:right w:val="none" w:sz="0" w:space="0" w:color="auto"/>
      </w:divBdr>
    </w:div>
    <w:div w:id="1172985502">
      <w:bodyDiv w:val="1"/>
      <w:marLeft w:val="0"/>
      <w:marRight w:val="0"/>
      <w:marTop w:val="0"/>
      <w:marBottom w:val="0"/>
      <w:divBdr>
        <w:top w:val="none" w:sz="0" w:space="0" w:color="auto"/>
        <w:left w:val="none" w:sz="0" w:space="0" w:color="auto"/>
        <w:bottom w:val="none" w:sz="0" w:space="0" w:color="auto"/>
        <w:right w:val="none" w:sz="0" w:space="0" w:color="auto"/>
      </w:divBdr>
    </w:div>
    <w:div w:id="1176307969">
      <w:bodyDiv w:val="1"/>
      <w:marLeft w:val="0"/>
      <w:marRight w:val="0"/>
      <w:marTop w:val="0"/>
      <w:marBottom w:val="0"/>
      <w:divBdr>
        <w:top w:val="none" w:sz="0" w:space="0" w:color="auto"/>
        <w:left w:val="none" w:sz="0" w:space="0" w:color="auto"/>
        <w:bottom w:val="none" w:sz="0" w:space="0" w:color="auto"/>
        <w:right w:val="none" w:sz="0" w:space="0" w:color="auto"/>
      </w:divBdr>
    </w:div>
    <w:div w:id="1178498707">
      <w:bodyDiv w:val="1"/>
      <w:marLeft w:val="0"/>
      <w:marRight w:val="0"/>
      <w:marTop w:val="0"/>
      <w:marBottom w:val="0"/>
      <w:divBdr>
        <w:top w:val="none" w:sz="0" w:space="0" w:color="auto"/>
        <w:left w:val="none" w:sz="0" w:space="0" w:color="auto"/>
        <w:bottom w:val="none" w:sz="0" w:space="0" w:color="auto"/>
        <w:right w:val="none" w:sz="0" w:space="0" w:color="auto"/>
      </w:divBdr>
    </w:div>
    <w:div w:id="1182664756">
      <w:bodyDiv w:val="1"/>
      <w:marLeft w:val="0"/>
      <w:marRight w:val="0"/>
      <w:marTop w:val="0"/>
      <w:marBottom w:val="0"/>
      <w:divBdr>
        <w:top w:val="none" w:sz="0" w:space="0" w:color="auto"/>
        <w:left w:val="none" w:sz="0" w:space="0" w:color="auto"/>
        <w:bottom w:val="none" w:sz="0" w:space="0" w:color="auto"/>
        <w:right w:val="none" w:sz="0" w:space="0" w:color="auto"/>
      </w:divBdr>
    </w:div>
    <w:div w:id="1185285808">
      <w:bodyDiv w:val="1"/>
      <w:marLeft w:val="0"/>
      <w:marRight w:val="0"/>
      <w:marTop w:val="0"/>
      <w:marBottom w:val="0"/>
      <w:divBdr>
        <w:top w:val="none" w:sz="0" w:space="0" w:color="auto"/>
        <w:left w:val="none" w:sz="0" w:space="0" w:color="auto"/>
        <w:bottom w:val="none" w:sz="0" w:space="0" w:color="auto"/>
        <w:right w:val="none" w:sz="0" w:space="0" w:color="auto"/>
      </w:divBdr>
    </w:div>
    <w:div w:id="1186363157">
      <w:bodyDiv w:val="1"/>
      <w:marLeft w:val="0"/>
      <w:marRight w:val="0"/>
      <w:marTop w:val="0"/>
      <w:marBottom w:val="0"/>
      <w:divBdr>
        <w:top w:val="none" w:sz="0" w:space="0" w:color="auto"/>
        <w:left w:val="none" w:sz="0" w:space="0" w:color="auto"/>
        <w:bottom w:val="none" w:sz="0" w:space="0" w:color="auto"/>
        <w:right w:val="none" w:sz="0" w:space="0" w:color="auto"/>
      </w:divBdr>
    </w:div>
    <w:div w:id="1190412914">
      <w:bodyDiv w:val="1"/>
      <w:marLeft w:val="0"/>
      <w:marRight w:val="0"/>
      <w:marTop w:val="0"/>
      <w:marBottom w:val="0"/>
      <w:divBdr>
        <w:top w:val="none" w:sz="0" w:space="0" w:color="auto"/>
        <w:left w:val="none" w:sz="0" w:space="0" w:color="auto"/>
        <w:bottom w:val="none" w:sz="0" w:space="0" w:color="auto"/>
        <w:right w:val="none" w:sz="0" w:space="0" w:color="auto"/>
      </w:divBdr>
    </w:div>
    <w:div w:id="1192036776">
      <w:bodyDiv w:val="1"/>
      <w:marLeft w:val="0"/>
      <w:marRight w:val="0"/>
      <w:marTop w:val="0"/>
      <w:marBottom w:val="0"/>
      <w:divBdr>
        <w:top w:val="none" w:sz="0" w:space="0" w:color="auto"/>
        <w:left w:val="none" w:sz="0" w:space="0" w:color="auto"/>
        <w:bottom w:val="none" w:sz="0" w:space="0" w:color="auto"/>
        <w:right w:val="none" w:sz="0" w:space="0" w:color="auto"/>
      </w:divBdr>
      <w:divsChild>
        <w:div w:id="1358461545">
          <w:marLeft w:val="1224"/>
          <w:marRight w:val="0"/>
          <w:marTop w:val="120"/>
          <w:marBottom w:val="120"/>
          <w:divBdr>
            <w:top w:val="none" w:sz="0" w:space="0" w:color="auto"/>
            <w:left w:val="none" w:sz="0" w:space="0" w:color="auto"/>
            <w:bottom w:val="none" w:sz="0" w:space="0" w:color="auto"/>
            <w:right w:val="none" w:sz="0" w:space="0" w:color="auto"/>
          </w:divBdr>
        </w:div>
      </w:divsChild>
    </w:div>
    <w:div w:id="1195269244">
      <w:bodyDiv w:val="1"/>
      <w:marLeft w:val="0"/>
      <w:marRight w:val="0"/>
      <w:marTop w:val="0"/>
      <w:marBottom w:val="0"/>
      <w:divBdr>
        <w:top w:val="none" w:sz="0" w:space="0" w:color="auto"/>
        <w:left w:val="none" w:sz="0" w:space="0" w:color="auto"/>
        <w:bottom w:val="none" w:sz="0" w:space="0" w:color="auto"/>
        <w:right w:val="none" w:sz="0" w:space="0" w:color="auto"/>
      </w:divBdr>
    </w:div>
    <w:div w:id="1202327028">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1453449">
      <w:bodyDiv w:val="1"/>
      <w:marLeft w:val="0"/>
      <w:marRight w:val="0"/>
      <w:marTop w:val="0"/>
      <w:marBottom w:val="0"/>
      <w:divBdr>
        <w:top w:val="none" w:sz="0" w:space="0" w:color="auto"/>
        <w:left w:val="none" w:sz="0" w:space="0" w:color="auto"/>
        <w:bottom w:val="none" w:sz="0" w:space="0" w:color="auto"/>
        <w:right w:val="none" w:sz="0" w:space="0" w:color="auto"/>
      </w:divBdr>
      <w:divsChild>
        <w:div w:id="951396246">
          <w:marLeft w:val="480"/>
          <w:marRight w:val="0"/>
          <w:marTop w:val="0"/>
          <w:marBottom w:val="0"/>
          <w:divBdr>
            <w:top w:val="none" w:sz="0" w:space="0" w:color="auto"/>
            <w:left w:val="none" w:sz="0" w:space="0" w:color="auto"/>
            <w:bottom w:val="none" w:sz="0" w:space="0" w:color="auto"/>
            <w:right w:val="none" w:sz="0" w:space="0" w:color="auto"/>
          </w:divBdr>
          <w:divsChild>
            <w:div w:id="10561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3398">
      <w:bodyDiv w:val="1"/>
      <w:marLeft w:val="0"/>
      <w:marRight w:val="0"/>
      <w:marTop w:val="0"/>
      <w:marBottom w:val="0"/>
      <w:divBdr>
        <w:top w:val="none" w:sz="0" w:space="0" w:color="auto"/>
        <w:left w:val="none" w:sz="0" w:space="0" w:color="auto"/>
        <w:bottom w:val="none" w:sz="0" w:space="0" w:color="auto"/>
        <w:right w:val="none" w:sz="0" w:space="0" w:color="auto"/>
      </w:divBdr>
    </w:div>
    <w:div w:id="1214586651">
      <w:bodyDiv w:val="1"/>
      <w:marLeft w:val="0"/>
      <w:marRight w:val="0"/>
      <w:marTop w:val="0"/>
      <w:marBottom w:val="0"/>
      <w:divBdr>
        <w:top w:val="none" w:sz="0" w:space="0" w:color="auto"/>
        <w:left w:val="none" w:sz="0" w:space="0" w:color="auto"/>
        <w:bottom w:val="none" w:sz="0" w:space="0" w:color="auto"/>
        <w:right w:val="none" w:sz="0" w:space="0" w:color="auto"/>
      </w:divBdr>
      <w:divsChild>
        <w:div w:id="1133210173">
          <w:marLeft w:val="480"/>
          <w:marRight w:val="0"/>
          <w:marTop w:val="0"/>
          <w:marBottom w:val="0"/>
          <w:divBdr>
            <w:top w:val="none" w:sz="0" w:space="0" w:color="auto"/>
            <w:left w:val="none" w:sz="0" w:space="0" w:color="auto"/>
            <w:bottom w:val="none" w:sz="0" w:space="0" w:color="auto"/>
            <w:right w:val="none" w:sz="0" w:space="0" w:color="auto"/>
          </w:divBdr>
          <w:divsChild>
            <w:div w:id="16416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2435">
      <w:bodyDiv w:val="1"/>
      <w:marLeft w:val="0"/>
      <w:marRight w:val="0"/>
      <w:marTop w:val="0"/>
      <w:marBottom w:val="0"/>
      <w:divBdr>
        <w:top w:val="none" w:sz="0" w:space="0" w:color="auto"/>
        <w:left w:val="none" w:sz="0" w:space="0" w:color="auto"/>
        <w:bottom w:val="none" w:sz="0" w:space="0" w:color="auto"/>
        <w:right w:val="none" w:sz="0" w:space="0" w:color="auto"/>
      </w:divBdr>
    </w:div>
    <w:div w:id="1215503654">
      <w:bodyDiv w:val="1"/>
      <w:marLeft w:val="0"/>
      <w:marRight w:val="0"/>
      <w:marTop w:val="0"/>
      <w:marBottom w:val="0"/>
      <w:divBdr>
        <w:top w:val="none" w:sz="0" w:space="0" w:color="auto"/>
        <w:left w:val="none" w:sz="0" w:space="0" w:color="auto"/>
        <w:bottom w:val="none" w:sz="0" w:space="0" w:color="auto"/>
        <w:right w:val="none" w:sz="0" w:space="0" w:color="auto"/>
      </w:divBdr>
      <w:divsChild>
        <w:div w:id="140315243">
          <w:marLeft w:val="480"/>
          <w:marRight w:val="0"/>
          <w:marTop w:val="0"/>
          <w:marBottom w:val="0"/>
          <w:divBdr>
            <w:top w:val="none" w:sz="0" w:space="0" w:color="auto"/>
            <w:left w:val="none" w:sz="0" w:space="0" w:color="auto"/>
            <w:bottom w:val="none" w:sz="0" w:space="0" w:color="auto"/>
            <w:right w:val="none" w:sz="0" w:space="0" w:color="auto"/>
          </w:divBdr>
          <w:divsChild>
            <w:div w:id="857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8733">
      <w:bodyDiv w:val="1"/>
      <w:marLeft w:val="0"/>
      <w:marRight w:val="0"/>
      <w:marTop w:val="0"/>
      <w:marBottom w:val="0"/>
      <w:divBdr>
        <w:top w:val="none" w:sz="0" w:space="0" w:color="auto"/>
        <w:left w:val="none" w:sz="0" w:space="0" w:color="auto"/>
        <w:bottom w:val="none" w:sz="0" w:space="0" w:color="auto"/>
        <w:right w:val="none" w:sz="0" w:space="0" w:color="auto"/>
      </w:divBdr>
      <w:divsChild>
        <w:div w:id="2108496069">
          <w:marLeft w:val="288"/>
          <w:marRight w:val="0"/>
          <w:marTop w:val="80"/>
          <w:marBottom w:val="0"/>
          <w:divBdr>
            <w:top w:val="none" w:sz="0" w:space="0" w:color="auto"/>
            <w:left w:val="none" w:sz="0" w:space="0" w:color="auto"/>
            <w:bottom w:val="none" w:sz="0" w:space="0" w:color="auto"/>
            <w:right w:val="none" w:sz="0" w:space="0" w:color="auto"/>
          </w:divBdr>
        </w:div>
        <w:div w:id="1553495042">
          <w:marLeft w:val="288"/>
          <w:marRight w:val="0"/>
          <w:marTop w:val="80"/>
          <w:marBottom w:val="0"/>
          <w:divBdr>
            <w:top w:val="none" w:sz="0" w:space="0" w:color="auto"/>
            <w:left w:val="none" w:sz="0" w:space="0" w:color="auto"/>
            <w:bottom w:val="none" w:sz="0" w:space="0" w:color="auto"/>
            <w:right w:val="none" w:sz="0" w:space="0" w:color="auto"/>
          </w:divBdr>
        </w:div>
        <w:div w:id="1848640471">
          <w:marLeft w:val="288"/>
          <w:marRight w:val="0"/>
          <w:marTop w:val="80"/>
          <w:marBottom w:val="0"/>
          <w:divBdr>
            <w:top w:val="none" w:sz="0" w:space="0" w:color="auto"/>
            <w:left w:val="none" w:sz="0" w:space="0" w:color="auto"/>
            <w:bottom w:val="none" w:sz="0" w:space="0" w:color="auto"/>
            <w:right w:val="none" w:sz="0" w:space="0" w:color="auto"/>
          </w:divBdr>
        </w:div>
        <w:div w:id="817184824">
          <w:marLeft w:val="288"/>
          <w:marRight w:val="0"/>
          <w:marTop w:val="80"/>
          <w:marBottom w:val="0"/>
          <w:divBdr>
            <w:top w:val="none" w:sz="0" w:space="0" w:color="auto"/>
            <w:left w:val="none" w:sz="0" w:space="0" w:color="auto"/>
            <w:bottom w:val="none" w:sz="0" w:space="0" w:color="auto"/>
            <w:right w:val="none" w:sz="0" w:space="0" w:color="auto"/>
          </w:divBdr>
        </w:div>
        <w:div w:id="387534617">
          <w:marLeft w:val="288"/>
          <w:marRight w:val="0"/>
          <w:marTop w:val="80"/>
          <w:marBottom w:val="0"/>
          <w:divBdr>
            <w:top w:val="none" w:sz="0" w:space="0" w:color="auto"/>
            <w:left w:val="none" w:sz="0" w:space="0" w:color="auto"/>
            <w:bottom w:val="none" w:sz="0" w:space="0" w:color="auto"/>
            <w:right w:val="none" w:sz="0" w:space="0" w:color="auto"/>
          </w:divBdr>
        </w:div>
        <w:div w:id="875506823">
          <w:marLeft w:val="288"/>
          <w:marRight w:val="0"/>
          <w:marTop w:val="80"/>
          <w:marBottom w:val="0"/>
          <w:divBdr>
            <w:top w:val="none" w:sz="0" w:space="0" w:color="auto"/>
            <w:left w:val="none" w:sz="0" w:space="0" w:color="auto"/>
            <w:bottom w:val="none" w:sz="0" w:space="0" w:color="auto"/>
            <w:right w:val="none" w:sz="0" w:space="0" w:color="auto"/>
          </w:divBdr>
        </w:div>
        <w:div w:id="128011144">
          <w:marLeft w:val="288"/>
          <w:marRight w:val="0"/>
          <w:marTop w:val="80"/>
          <w:marBottom w:val="0"/>
          <w:divBdr>
            <w:top w:val="none" w:sz="0" w:space="0" w:color="auto"/>
            <w:left w:val="none" w:sz="0" w:space="0" w:color="auto"/>
            <w:bottom w:val="none" w:sz="0" w:space="0" w:color="auto"/>
            <w:right w:val="none" w:sz="0" w:space="0" w:color="auto"/>
          </w:divBdr>
        </w:div>
      </w:divsChild>
    </w:div>
    <w:div w:id="1226530762">
      <w:bodyDiv w:val="1"/>
      <w:marLeft w:val="0"/>
      <w:marRight w:val="0"/>
      <w:marTop w:val="0"/>
      <w:marBottom w:val="0"/>
      <w:divBdr>
        <w:top w:val="none" w:sz="0" w:space="0" w:color="auto"/>
        <w:left w:val="none" w:sz="0" w:space="0" w:color="auto"/>
        <w:bottom w:val="none" w:sz="0" w:space="0" w:color="auto"/>
        <w:right w:val="none" w:sz="0" w:space="0" w:color="auto"/>
      </w:divBdr>
    </w:div>
    <w:div w:id="1229073108">
      <w:bodyDiv w:val="1"/>
      <w:marLeft w:val="0"/>
      <w:marRight w:val="0"/>
      <w:marTop w:val="0"/>
      <w:marBottom w:val="0"/>
      <w:divBdr>
        <w:top w:val="none" w:sz="0" w:space="0" w:color="auto"/>
        <w:left w:val="none" w:sz="0" w:space="0" w:color="auto"/>
        <w:bottom w:val="none" w:sz="0" w:space="0" w:color="auto"/>
        <w:right w:val="none" w:sz="0" w:space="0" w:color="auto"/>
      </w:divBdr>
      <w:divsChild>
        <w:div w:id="1904481010">
          <w:marLeft w:val="480"/>
          <w:marRight w:val="0"/>
          <w:marTop w:val="0"/>
          <w:marBottom w:val="0"/>
          <w:divBdr>
            <w:top w:val="none" w:sz="0" w:space="0" w:color="auto"/>
            <w:left w:val="none" w:sz="0" w:space="0" w:color="auto"/>
            <w:bottom w:val="none" w:sz="0" w:space="0" w:color="auto"/>
            <w:right w:val="none" w:sz="0" w:space="0" w:color="auto"/>
          </w:divBdr>
          <w:divsChild>
            <w:div w:id="16614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322">
      <w:bodyDiv w:val="1"/>
      <w:marLeft w:val="0"/>
      <w:marRight w:val="0"/>
      <w:marTop w:val="0"/>
      <w:marBottom w:val="0"/>
      <w:divBdr>
        <w:top w:val="none" w:sz="0" w:space="0" w:color="auto"/>
        <w:left w:val="none" w:sz="0" w:space="0" w:color="auto"/>
        <w:bottom w:val="none" w:sz="0" w:space="0" w:color="auto"/>
        <w:right w:val="none" w:sz="0" w:space="0" w:color="auto"/>
      </w:divBdr>
    </w:div>
    <w:div w:id="1234656341">
      <w:bodyDiv w:val="1"/>
      <w:marLeft w:val="0"/>
      <w:marRight w:val="0"/>
      <w:marTop w:val="0"/>
      <w:marBottom w:val="0"/>
      <w:divBdr>
        <w:top w:val="none" w:sz="0" w:space="0" w:color="auto"/>
        <w:left w:val="none" w:sz="0" w:space="0" w:color="auto"/>
        <w:bottom w:val="none" w:sz="0" w:space="0" w:color="auto"/>
        <w:right w:val="none" w:sz="0" w:space="0" w:color="auto"/>
      </w:divBdr>
    </w:div>
    <w:div w:id="1247618335">
      <w:bodyDiv w:val="1"/>
      <w:marLeft w:val="0"/>
      <w:marRight w:val="0"/>
      <w:marTop w:val="0"/>
      <w:marBottom w:val="0"/>
      <w:divBdr>
        <w:top w:val="none" w:sz="0" w:space="0" w:color="auto"/>
        <w:left w:val="none" w:sz="0" w:space="0" w:color="auto"/>
        <w:bottom w:val="none" w:sz="0" w:space="0" w:color="auto"/>
        <w:right w:val="none" w:sz="0" w:space="0" w:color="auto"/>
      </w:divBdr>
    </w:div>
    <w:div w:id="1253204497">
      <w:bodyDiv w:val="1"/>
      <w:marLeft w:val="0"/>
      <w:marRight w:val="0"/>
      <w:marTop w:val="0"/>
      <w:marBottom w:val="0"/>
      <w:divBdr>
        <w:top w:val="none" w:sz="0" w:space="0" w:color="auto"/>
        <w:left w:val="none" w:sz="0" w:space="0" w:color="auto"/>
        <w:bottom w:val="none" w:sz="0" w:space="0" w:color="auto"/>
        <w:right w:val="none" w:sz="0" w:space="0" w:color="auto"/>
      </w:divBdr>
    </w:div>
    <w:div w:id="1253857116">
      <w:bodyDiv w:val="1"/>
      <w:marLeft w:val="0"/>
      <w:marRight w:val="0"/>
      <w:marTop w:val="0"/>
      <w:marBottom w:val="0"/>
      <w:divBdr>
        <w:top w:val="none" w:sz="0" w:space="0" w:color="auto"/>
        <w:left w:val="none" w:sz="0" w:space="0" w:color="auto"/>
        <w:bottom w:val="none" w:sz="0" w:space="0" w:color="auto"/>
        <w:right w:val="none" w:sz="0" w:space="0" w:color="auto"/>
      </w:divBdr>
    </w:div>
    <w:div w:id="1254317255">
      <w:bodyDiv w:val="1"/>
      <w:marLeft w:val="0"/>
      <w:marRight w:val="0"/>
      <w:marTop w:val="0"/>
      <w:marBottom w:val="0"/>
      <w:divBdr>
        <w:top w:val="none" w:sz="0" w:space="0" w:color="auto"/>
        <w:left w:val="none" w:sz="0" w:space="0" w:color="auto"/>
        <w:bottom w:val="none" w:sz="0" w:space="0" w:color="auto"/>
        <w:right w:val="none" w:sz="0" w:space="0" w:color="auto"/>
      </w:divBdr>
    </w:div>
    <w:div w:id="1257247791">
      <w:bodyDiv w:val="1"/>
      <w:marLeft w:val="0"/>
      <w:marRight w:val="0"/>
      <w:marTop w:val="0"/>
      <w:marBottom w:val="0"/>
      <w:divBdr>
        <w:top w:val="none" w:sz="0" w:space="0" w:color="auto"/>
        <w:left w:val="none" w:sz="0" w:space="0" w:color="auto"/>
        <w:bottom w:val="none" w:sz="0" w:space="0" w:color="auto"/>
        <w:right w:val="none" w:sz="0" w:space="0" w:color="auto"/>
      </w:divBdr>
    </w:div>
    <w:div w:id="1268611263">
      <w:bodyDiv w:val="1"/>
      <w:marLeft w:val="0"/>
      <w:marRight w:val="0"/>
      <w:marTop w:val="0"/>
      <w:marBottom w:val="0"/>
      <w:divBdr>
        <w:top w:val="none" w:sz="0" w:space="0" w:color="auto"/>
        <w:left w:val="none" w:sz="0" w:space="0" w:color="auto"/>
        <w:bottom w:val="none" w:sz="0" w:space="0" w:color="auto"/>
        <w:right w:val="none" w:sz="0" w:space="0" w:color="auto"/>
      </w:divBdr>
    </w:div>
    <w:div w:id="1271939627">
      <w:bodyDiv w:val="1"/>
      <w:marLeft w:val="0"/>
      <w:marRight w:val="0"/>
      <w:marTop w:val="0"/>
      <w:marBottom w:val="0"/>
      <w:divBdr>
        <w:top w:val="none" w:sz="0" w:space="0" w:color="auto"/>
        <w:left w:val="none" w:sz="0" w:space="0" w:color="auto"/>
        <w:bottom w:val="none" w:sz="0" w:space="0" w:color="auto"/>
        <w:right w:val="none" w:sz="0" w:space="0" w:color="auto"/>
      </w:divBdr>
    </w:div>
    <w:div w:id="1274246110">
      <w:bodyDiv w:val="1"/>
      <w:marLeft w:val="0"/>
      <w:marRight w:val="0"/>
      <w:marTop w:val="0"/>
      <w:marBottom w:val="0"/>
      <w:divBdr>
        <w:top w:val="none" w:sz="0" w:space="0" w:color="auto"/>
        <w:left w:val="none" w:sz="0" w:space="0" w:color="auto"/>
        <w:bottom w:val="none" w:sz="0" w:space="0" w:color="auto"/>
        <w:right w:val="none" w:sz="0" w:space="0" w:color="auto"/>
      </w:divBdr>
    </w:div>
    <w:div w:id="1277447451">
      <w:bodyDiv w:val="1"/>
      <w:marLeft w:val="0"/>
      <w:marRight w:val="0"/>
      <w:marTop w:val="0"/>
      <w:marBottom w:val="0"/>
      <w:divBdr>
        <w:top w:val="none" w:sz="0" w:space="0" w:color="auto"/>
        <w:left w:val="none" w:sz="0" w:space="0" w:color="auto"/>
        <w:bottom w:val="none" w:sz="0" w:space="0" w:color="auto"/>
        <w:right w:val="none" w:sz="0" w:space="0" w:color="auto"/>
      </w:divBdr>
    </w:div>
    <w:div w:id="1294629582">
      <w:bodyDiv w:val="1"/>
      <w:marLeft w:val="0"/>
      <w:marRight w:val="0"/>
      <w:marTop w:val="0"/>
      <w:marBottom w:val="0"/>
      <w:divBdr>
        <w:top w:val="none" w:sz="0" w:space="0" w:color="auto"/>
        <w:left w:val="none" w:sz="0" w:space="0" w:color="auto"/>
        <w:bottom w:val="none" w:sz="0" w:space="0" w:color="auto"/>
        <w:right w:val="none" w:sz="0" w:space="0" w:color="auto"/>
      </w:divBdr>
    </w:div>
    <w:div w:id="1297640157">
      <w:bodyDiv w:val="1"/>
      <w:marLeft w:val="0"/>
      <w:marRight w:val="0"/>
      <w:marTop w:val="0"/>
      <w:marBottom w:val="0"/>
      <w:divBdr>
        <w:top w:val="none" w:sz="0" w:space="0" w:color="auto"/>
        <w:left w:val="none" w:sz="0" w:space="0" w:color="auto"/>
        <w:bottom w:val="none" w:sz="0" w:space="0" w:color="auto"/>
        <w:right w:val="none" w:sz="0" w:space="0" w:color="auto"/>
      </w:divBdr>
    </w:div>
    <w:div w:id="1301960387">
      <w:bodyDiv w:val="1"/>
      <w:marLeft w:val="0"/>
      <w:marRight w:val="0"/>
      <w:marTop w:val="0"/>
      <w:marBottom w:val="0"/>
      <w:divBdr>
        <w:top w:val="none" w:sz="0" w:space="0" w:color="auto"/>
        <w:left w:val="none" w:sz="0" w:space="0" w:color="auto"/>
        <w:bottom w:val="none" w:sz="0" w:space="0" w:color="auto"/>
        <w:right w:val="none" w:sz="0" w:space="0" w:color="auto"/>
      </w:divBdr>
    </w:div>
    <w:div w:id="1311517289">
      <w:bodyDiv w:val="1"/>
      <w:marLeft w:val="0"/>
      <w:marRight w:val="0"/>
      <w:marTop w:val="0"/>
      <w:marBottom w:val="0"/>
      <w:divBdr>
        <w:top w:val="none" w:sz="0" w:space="0" w:color="auto"/>
        <w:left w:val="none" w:sz="0" w:space="0" w:color="auto"/>
        <w:bottom w:val="none" w:sz="0" w:space="0" w:color="auto"/>
        <w:right w:val="none" w:sz="0" w:space="0" w:color="auto"/>
      </w:divBdr>
    </w:div>
    <w:div w:id="1312325076">
      <w:bodyDiv w:val="1"/>
      <w:marLeft w:val="0"/>
      <w:marRight w:val="0"/>
      <w:marTop w:val="0"/>
      <w:marBottom w:val="0"/>
      <w:divBdr>
        <w:top w:val="none" w:sz="0" w:space="0" w:color="auto"/>
        <w:left w:val="none" w:sz="0" w:space="0" w:color="auto"/>
        <w:bottom w:val="none" w:sz="0" w:space="0" w:color="auto"/>
        <w:right w:val="none" w:sz="0" w:space="0" w:color="auto"/>
      </w:divBdr>
    </w:div>
    <w:div w:id="1313867992">
      <w:bodyDiv w:val="1"/>
      <w:marLeft w:val="0"/>
      <w:marRight w:val="0"/>
      <w:marTop w:val="0"/>
      <w:marBottom w:val="0"/>
      <w:divBdr>
        <w:top w:val="none" w:sz="0" w:space="0" w:color="auto"/>
        <w:left w:val="none" w:sz="0" w:space="0" w:color="auto"/>
        <w:bottom w:val="none" w:sz="0" w:space="0" w:color="auto"/>
        <w:right w:val="none" w:sz="0" w:space="0" w:color="auto"/>
      </w:divBdr>
    </w:div>
    <w:div w:id="1322195944">
      <w:bodyDiv w:val="1"/>
      <w:marLeft w:val="0"/>
      <w:marRight w:val="0"/>
      <w:marTop w:val="0"/>
      <w:marBottom w:val="0"/>
      <w:divBdr>
        <w:top w:val="none" w:sz="0" w:space="0" w:color="auto"/>
        <w:left w:val="none" w:sz="0" w:space="0" w:color="auto"/>
        <w:bottom w:val="none" w:sz="0" w:space="0" w:color="auto"/>
        <w:right w:val="none" w:sz="0" w:space="0" w:color="auto"/>
      </w:divBdr>
    </w:div>
    <w:div w:id="1324115873">
      <w:bodyDiv w:val="1"/>
      <w:marLeft w:val="0"/>
      <w:marRight w:val="0"/>
      <w:marTop w:val="0"/>
      <w:marBottom w:val="0"/>
      <w:divBdr>
        <w:top w:val="none" w:sz="0" w:space="0" w:color="auto"/>
        <w:left w:val="none" w:sz="0" w:space="0" w:color="auto"/>
        <w:bottom w:val="none" w:sz="0" w:space="0" w:color="auto"/>
        <w:right w:val="none" w:sz="0" w:space="0" w:color="auto"/>
      </w:divBdr>
      <w:divsChild>
        <w:div w:id="1434588991">
          <w:marLeft w:val="547"/>
          <w:marRight w:val="0"/>
          <w:marTop w:val="0"/>
          <w:marBottom w:val="0"/>
          <w:divBdr>
            <w:top w:val="none" w:sz="0" w:space="0" w:color="auto"/>
            <w:left w:val="none" w:sz="0" w:space="0" w:color="auto"/>
            <w:bottom w:val="none" w:sz="0" w:space="0" w:color="auto"/>
            <w:right w:val="none" w:sz="0" w:space="0" w:color="auto"/>
          </w:divBdr>
        </w:div>
      </w:divsChild>
    </w:div>
    <w:div w:id="1332175215">
      <w:bodyDiv w:val="1"/>
      <w:marLeft w:val="0"/>
      <w:marRight w:val="0"/>
      <w:marTop w:val="0"/>
      <w:marBottom w:val="0"/>
      <w:divBdr>
        <w:top w:val="none" w:sz="0" w:space="0" w:color="auto"/>
        <w:left w:val="none" w:sz="0" w:space="0" w:color="auto"/>
        <w:bottom w:val="none" w:sz="0" w:space="0" w:color="auto"/>
        <w:right w:val="none" w:sz="0" w:space="0" w:color="auto"/>
      </w:divBdr>
    </w:div>
    <w:div w:id="1332872133">
      <w:bodyDiv w:val="1"/>
      <w:marLeft w:val="0"/>
      <w:marRight w:val="0"/>
      <w:marTop w:val="0"/>
      <w:marBottom w:val="0"/>
      <w:divBdr>
        <w:top w:val="none" w:sz="0" w:space="0" w:color="auto"/>
        <w:left w:val="none" w:sz="0" w:space="0" w:color="auto"/>
        <w:bottom w:val="none" w:sz="0" w:space="0" w:color="auto"/>
        <w:right w:val="none" w:sz="0" w:space="0" w:color="auto"/>
      </w:divBdr>
    </w:div>
    <w:div w:id="1342315409">
      <w:bodyDiv w:val="1"/>
      <w:marLeft w:val="0"/>
      <w:marRight w:val="0"/>
      <w:marTop w:val="0"/>
      <w:marBottom w:val="0"/>
      <w:divBdr>
        <w:top w:val="none" w:sz="0" w:space="0" w:color="auto"/>
        <w:left w:val="none" w:sz="0" w:space="0" w:color="auto"/>
        <w:bottom w:val="none" w:sz="0" w:space="0" w:color="auto"/>
        <w:right w:val="none" w:sz="0" w:space="0" w:color="auto"/>
      </w:divBdr>
    </w:div>
    <w:div w:id="1347826742">
      <w:bodyDiv w:val="1"/>
      <w:marLeft w:val="0"/>
      <w:marRight w:val="0"/>
      <w:marTop w:val="0"/>
      <w:marBottom w:val="0"/>
      <w:divBdr>
        <w:top w:val="none" w:sz="0" w:space="0" w:color="auto"/>
        <w:left w:val="none" w:sz="0" w:space="0" w:color="auto"/>
        <w:bottom w:val="none" w:sz="0" w:space="0" w:color="auto"/>
        <w:right w:val="none" w:sz="0" w:space="0" w:color="auto"/>
      </w:divBdr>
    </w:div>
    <w:div w:id="1348866984">
      <w:bodyDiv w:val="1"/>
      <w:marLeft w:val="0"/>
      <w:marRight w:val="0"/>
      <w:marTop w:val="0"/>
      <w:marBottom w:val="0"/>
      <w:divBdr>
        <w:top w:val="none" w:sz="0" w:space="0" w:color="auto"/>
        <w:left w:val="none" w:sz="0" w:space="0" w:color="auto"/>
        <w:bottom w:val="none" w:sz="0" w:space="0" w:color="auto"/>
        <w:right w:val="none" w:sz="0" w:space="0" w:color="auto"/>
      </w:divBdr>
      <w:divsChild>
        <w:div w:id="1278172157">
          <w:marLeft w:val="0"/>
          <w:marRight w:val="0"/>
          <w:marTop w:val="120"/>
          <w:marBottom w:val="0"/>
          <w:divBdr>
            <w:top w:val="none" w:sz="0" w:space="0" w:color="auto"/>
            <w:left w:val="none" w:sz="0" w:space="0" w:color="auto"/>
            <w:bottom w:val="none" w:sz="0" w:space="0" w:color="auto"/>
            <w:right w:val="none" w:sz="0" w:space="0" w:color="auto"/>
          </w:divBdr>
          <w:divsChild>
            <w:div w:id="1383745316">
              <w:marLeft w:val="0"/>
              <w:marRight w:val="0"/>
              <w:marTop w:val="0"/>
              <w:marBottom w:val="0"/>
              <w:divBdr>
                <w:top w:val="none" w:sz="0" w:space="0" w:color="auto"/>
                <w:left w:val="none" w:sz="0" w:space="0" w:color="auto"/>
                <w:bottom w:val="none" w:sz="0" w:space="0" w:color="auto"/>
                <w:right w:val="none" w:sz="0" w:space="0" w:color="auto"/>
              </w:divBdr>
            </w:div>
          </w:divsChild>
        </w:div>
        <w:div w:id="2085567168">
          <w:marLeft w:val="0"/>
          <w:marRight w:val="0"/>
          <w:marTop w:val="120"/>
          <w:marBottom w:val="0"/>
          <w:divBdr>
            <w:top w:val="none" w:sz="0" w:space="0" w:color="auto"/>
            <w:left w:val="none" w:sz="0" w:space="0" w:color="auto"/>
            <w:bottom w:val="none" w:sz="0" w:space="0" w:color="auto"/>
            <w:right w:val="none" w:sz="0" w:space="0" w:color="auto"/>
          </w:divBdr>
          <w:divsChild>
            <w:div w:id="692345482">
              <w:marLeft w:val="0"/>
              <w:marRight w:val="0"/>
              <w:marTop w:val="0"/>
              <w:marBottom w:val="0"/>
              <w:divBdr>
                <w:top w:val="none" w:sz="0" w:space="0" w:color="auto"/>
                <w:left w:val="none" w:sz="0" w:space="0" w:color="auto"/>
                <w:bottom w:val="none" w:sz="0" w:space="0" w:color="auto"/>
                <w:right w:val="none" w:sz="0" w:space="0" w:color="auto"/>
              </w:divBdr>
            </w:div>
          </w:divsChild>
        </w:div>
        <w:div w:id="484932405">
          <w:marLeft w:val="0"/>
          <w:marRight w:val="0"/>
          <w:marTop w:val="120"/>
          <w:marBottom w:val="0"/>
          <w:divBdr>
            <w:top w:val="none" w:sz="0" w:space="0" w:color="auto"/>
            <w:left w:val="none" w:sz="0" w:space="0" w:color="auto"/>
            <w:bottom w:val="none" w:sz="0" w:space="0" w:color="auto"/>
            <w:right w:val="none" w:sz="0" w:space="0" w:color="auto"/>
          </w:divBdr>
          <w:divsChild>
            <w:div w:id="403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6104">
      <w:bodyDiv w:val="1"/>
      <w:marLeft w:val="0"/>
      <w:marRight w:val="0"/>
      <w:marTop w:val="0"/>
      <w:marBottom w:val="0"/>
      <w:divBdr>
        <w:top w:val="none" w:sz="0" w:space="0" w:color="auto"/>
        <w:left w:val="none" w:sz="0" w:space="0" w:color="auto"/>
        <w:bottom w:val="none" w:sz="0" w:space="0" w:color="auto"/>
        <w:right w:val="none" w:sz="0" w:space="0" w:color="auto"/>
      </w:divBdr>
      <w:divsChild>
        <w:div w:id="936904256">
          <w:marLeft w:val="480"/>
          <w:marRight w:val="0"/>
          <w:marTop w:val="0"/>
          <w:marBottom w:val="0"/>
          <w:divBdr>
            <w:top w:val="none" w:sz="0" w:space="0" w:color="auto"/>
            <w:left w:val="none" w:sz="0" w:space="0" w:color="auto"/>
            <w:bottom w:val="none" w:sz="0" w:space="0" w:color="auto"/>
            <w:right w:val="none" w:sz="0" w:space="0" w:color="auto"/>
          </w:divBdr>
          <w:divsChild>
            <w:div w:id="5383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2066">
      <w:bodyDiv w:val="1"/>
      <w:marLeft w:val="0"/>
      <w:marRight w:val="0"/>
      <w:marTop w:val="0"/>
      <w:marBottom w:val="0"/>
      <w:divBdr>
        <w:top w:val="none" w:sz="0" w:space="0" w:color="auto"/>
        <w:left w:val="none" w:sz="0" w:space="0" w:color="auto"/>
        <w:bottom w:val="none" w:sz="0" w:space="0" w:color="auto"/>
        <w:right w:val="none" w:sz="0" w:space="0" w:color="auto"/>
      </w:divBdr>
      <w:divsChild>
        <w:div w:id="1219786866">
          <w:marLeft w:val="0"/>
          <w:marRight w:val="0"/>
          <w:marTop w:val="0"/>
          <w:marBottom w:val="0"/>
          <w:divBdr>
            <w:top w:val="none" w:sz="0" w:space="0" w:color="auto"/>
            <w:left w:val="none" w:sz="0" w:space="0" w:color="auto"/>
            <w:bottom w:val="none" w:sz="0" w:space="0" w:color="auto"/>
            <w:right w:val="none" w:sz="0" w:space="0" w:color="auto"/>
          </w:divBdr>
        </w:div>
        <w:div w:id="1274629786">
          <w:marLeft w:val="0"/>
          <w:marRight w:val="0"/>
          <w:marTop w:val="0"/>
          <w:marBottom w:val="0"/>
          <w:divBdr>
            <w:top w:val="none" w:sz="0" w:space="0" w:color="auto"/>
            <w:left w:val="none" w:sz="0" w:space="0" w:color="auto"/>
            <w:bottom w:val="none" w:sz="0" w:space="0" w:color="auto"/>
            <w:right w:val="none" w:sz="0" w:space="0" w:color="auto"/>
          </w:divBdr>
        </w:div>
        <w:div w:id="193730962">
          <w:marLeft w:val="0"/>
          <w:marRight w:val="0"/>
          <w:marTop w:val="0"/>
          <w:marBottom w:val="0"/>
          <w:divBdr>
            <w:top w:val="none" w:sz="0" w:space="0" w:color="auto"/>
            <w:left w:val="none" w:sz="0" w:space="0" w:color="auto"/>
            <w:bottom w:val="none" w:sz="0" w:space="0" w:color="auto"/>
            <w:right w:val="none" w:sz="0" w:space="0" w:color="auto"/>
          </w:divBdr>
        </w:div>
        <w:div w:id="2134320253">
          <w:marLeft w:val="0"/>
          <w:marRight w:val="0"/>
          <w:marTop w:val="0"/>
          <w:marBottom w:val="0"/>
          <w:divBdr>
            <w:top w:val="none" w:sz="0" w:space="0" w:color="auto"/>
            <w:left w:val="none" w:sz="0" w:space="0" w:color="auto"/>
            <w:bottom w:val="none" w:sz="0" w:space="0" w:color="auto"/>
            <w:right w:val="none" w:sz="0" w:space="0" w:color="auto"/>
          </w:divBdr>
        </w:div>
      </w:divsChild>
    </w:div>
    <w:div w:id="1353070943">
      <w:bodyDiv w:val="1"/>
      <w:marLeft w:val="0"/>
      <w:marRight w:val="0"/>
      <w:marTop w:val="0"/>
      <w:marBottom w:val="0"/>
      <w:divBdr>
        <w:top w:val="none" w:sz="0" w:space="0" w:color="auto"/>
        <w:left w:val="none" w:sz="0" w:space="0" w:color="auto"/>
        <w:bottom w:val="none" w:sz="0" w:space="0" w:color="auto"/>
        <w:right w:val="none" w:sz="0" w:space="0" w:color="auto"/>
      </w:divBdr>
    </w:div>
    <w:div w:id="1353727734">
      <w:bodyDiv w:val="1"/>
      <w:marLeft w:val="0"/>
      <w:marRight w:val="0"/>
      <w:marTop w:val="0"/>
      <w:marBottom w:val="0"/>
      <w:divBdr>
        <w:top w:val="none" w:sz="0" w:space="0" w:color="auto"/>
        <w:left w:val="none" w:sz="0" w:space="0" w:color="auto"/>
        <w:bottom w:val="none" w:sz="0" w:space="0" w:color="auto"/>
        <w:right w:val="none" w:sz="0" w:space="0" w:color="auto"/>
      </w:divBdr>
    </w:div>
    <w:div w:id="1359696979">
      <w:bodyDiv w:val="1"/>
      <w:marLeft w:val="0"/>
      <w:marRight w:val="0"/>
      <w:marTop w:val="0"/>
      <w:marBottom w:val="0"/>
      <w:divBdr>
        <w:top w:val="none" w:sz="0" w:space="0" w:color="auto"/>
        <w:left w:val="none" w:sz="0" w:space="0" w:color="auto"/>
        <w:bottom w:val="none" w:sz="0" w:space="0" w:color="auto"/>
        <w:right w:val="none" w:sz="0" w:space="0" w:color="auto"/>
      </w:divBdr>
    </w:div>
    <w:div w:id="1364355825">
      <w:bodyDiv w:val="1"/>
      <w:marLeft w:val="0"/>
      <w:marRight w:val="0"/>
      <w:marTop w:val="0"/>
      <w:marBottom w:val="0"/>
      <w:divBdr>
        <w:top w:val="none" w:sz="0" w:space="0" w:color="auto"/>
        <w:left w:val="none" w:sz="0" w:space="0" w:color="auto"/>
        <w:bottom w:val="none" w:sz="0" w:space="0" w:color="auto"/>
        <w:right w:val="none" w:sz="0" w:space="0" w:color="auto"/>
      </w:divBdr>
      <w:divsChild>
        <w:div w:id="551889721">
          <w:marLeft w:val="0"/>
          <w:marRight w:val="0"/>
          <w:marTop w:val="0"/>
          <w:marBottom w:val="0"/>
          <w:divBdr>
            <w:top w:val="none" w:sz="0" w:space="0" w:color="auto"/>
            <w:left w:val="none" w:sz="0" w:space="0" w:color="auto"/>
            <w:bottom w:val="none" w:sz="0" w:space="0" w:color="auto"/>
            <w:right w:val="none" w:sz="0" w:space="0" w:color="auto"/>
          </w:divBdr>
        </w:div>
        <w:div w:id="884756572">
          <w:marLeft w:val="0"/>
          <w:marRight w:val="0"/>
          <w:marTop w:val="0"/>
          <w:marBottom w:val="0"/>
          <w:divBdr>
            <w:top w:val="none" w:sz="0" w:space="0" w:color="auto"/>
            <w:left w:val="none" w:sz="0" w:space="0" w:color="auto"/>
            <w:bottom w:val="none" w:sz="0" w:space="0" w:color="auto"/>
            <w:right w:val="none" w:sz="0" w:space="0" w:color="auto"/>
          </w:divBdr>
        </w:div>
        <w:div w:id="587622387">
          <w:marLeft w:val="0"/>
          <w:marRight w:val="0"/>
          <w:marTop w:val="0"/>
          <w:marBottom w:val="0"/>
          <w:divBdr>
            <w:top w:val="none" w:sz="0" w:space="0" w:color="auto"/>
            <w:left w:val="none" w:sz="0" w:space="0" w:color="auto"/>
            <w:bottom w:val="none" w:sz="0" w:space="0" w:color="auto"/>
            <w:right w:val="none" w:sz="0" w:space="0" w:color="auto"/>
          </w:divBdr>
        </w:div>
        <w:div w:id="1791123550">
          <w:marLeft w:val="0"/>
          <w:marRight w:val="0"/>
          <w:marTop w:val="0"/>
          <w:marBottom w:val="0"/>
          <w:divBdr>
            <w:top w:val="none" w:sz="0" w:space="0" w:color="auto"/>
            <w:left w:val="none" w:sz="0" w:space="0" w:color="auto"/>
            <w:bottom w:val="none" w:sz="0" w:space="0" w:color="auto"/>
            <w:right w:val="none" w:sz="0" w:space="0" w:color="auto"/>
          </w:divBdr>
        </w:div>
        <w:div w:id="200829360">
          <w:marLeft w:val="0"/>
          <w:marRight w:val="0"/>
          <w:marTop w:val="0"/>
          <w:marBottom w:val="0"/>
          <w:divBdr>
            <w:top w:val="none" w:sz="0" w:space="0" w:color="auto"/>
            <w:left w:val="none" w:sz="0" w:space="0" w:color="auto"/>
            <w:bottom w:val="none" w:sz="0" w:space="0" w:color="auto"/>
            <w:right w:val="none" w:sz="0" w:space="0" w:color="auto"/>
          </w:divBdr>
        </w:div>
        <w:div w:id="266239014">
          <w:marLeft w:val="0"/>
          <w:marRight w:val="0"/>
          <w:marTop w:val="0"/>
          <w:marBottom w:val="0"/>
          <w:divBdr>
            <w:top w:val="none" w:sz="0" w:space="0" w:color="auto"/>
            <w:left w:val="none" w:sz="0" w:space="0" w:color="auto"/>
            <w:bottom w:val="none" w:sz="0" w:space="0" w:color="auto"/>
            <w:right w:val="none" w:sz="0" w:space="0" w:color="auto"/>
          </w:divBdr>
        </w:div>
        <w:div w:id="210387488">
          <w:marLeft w:val="0"/>
          <w:marRight w:val="0"/>
          <w:marTop w:val="0"/>
          <w:marBottom w:val="0"/>
          <w:divBdr>
            <w:top w:val="none" w:sz="0" w:space="0" w:color="auto"/>
            <w:left w:val="none" w:sz="0" w:space="0" w:color="auto"/>
            <w:bottom w:val="none" w:sz="0" w:space="0" w:color="auto"/>
            <w:right w:val="none" w:sz="0" w:space="0" w:color="auto"/>
          </w:divBdr>
        </w:div>
      </w:divsChild>
    </w:div>
    <w:div w:id="1364594379">
      <w:bodyDiv w:val="1"/>
      <w:marLeft w:val="0"/>
      <w:marRight w:val="0"/>
      <w:marTop w:val="0"/>
      <w:marBottom w:val="0"/>
      <w:divBdr>
        <w:top w:val="none" w:sz="0" w:space="0" w:color="auto"/>
        <w:left w:val="none" w:sz="0" w:space="0" w:color="auto"/>
        <w:bottom w:val="none" w:sz="0" w:space="0" w:color="auto"/>
        <w:right w:val="none" w:sz="0" w:space="0" w:color="auto"/>
      </w:divBdr>
      <w:divsChild>
        <w:div w:id="1304626268">
          <w:marLeft w:val="480"/>
          <w:marRight w:val="0"/>
          <w:marTop w:val="0"/>
          <w:marBottom w:val="0"/>
          <w:divBdr>
            <w:top w:val="none" w:sz="0" w:space="0" w:color="auto"/>
            <w:left w:val="none" w:sz="0" w:space="0" w:color="auto"/>
            <w:bottom w:val="none" w:sz="0" w:space="0" w:color="auto"/>
            <w:right w:val="none" w:sz="0" w:space="0" w:color="auto"/>
          </w:divBdr>
          <w:divsChild>
            <w:div w:id="19773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2807">
      <w:bodyDiv w:val="1"/>
      <w:marLeft w:val="0"/>
      <w:marRight w:val="0"/>
      <w:marTop w:val="0"/>
      <w:marBottom w:val="0"/>
      <w:divBdr>
        <w:top w:val="none" w:sz="0" w:space="0" w:color="auto"/>
        <w:left w:val="none" w:sz="0" w:space="0" w:color="auto"/>
        <w:bottom w:val="none" w:sz="0" w:space="0" w:color="auto"/>
        <w:right w:val="none" w:sz="0" w:space="0" w:color="auto"/>
      </w:divBdr>
    </w:div>
    <w:div w:id="1376807468">
      <w:bodyDiv w:val="1"/>
      <w:marLeft w:val="0"/>
      <w:marRight w:val="0"/>
      <w:marTop w:val="0"/>
      <w:marBottom w:val="0"/>
      <w:divBdr>
        <w:top w:val="none" w:sz="0" w:space="0" w:color="auto"/>
        <w:left w:val="none" w:sz="0" w:space="0" w:color="auto"/>
        <w:bottom w:val="none" w:sz="0" w:space="0" w:color="auto"/>
        <w:right w:val="none" w:sz="0" w:space="0" w:color="auto"/>
      </w:divBdr>
    </w:div>
    <w:div w:id="1389187464">
      <w:bodyDiv w:val="1"/>
      <w:marLeft w:val="0"/>
      <w:marRight w:val="0"/>
      <w:marTop w:val="0"/>
      <w:marBottom w:val="0"/>
      <w:divBdr>
        <w:top w:val="none" w:sz="0" w:space="0" w:color="auto"/>
        <w:left w:val="none" w:sz="0" w:space="0" w:color="auto"/>
        <w:bottom w:val="none" w:sz="0" w:space="0" w:color="auto"/>
        <w:right w:val="none" w:sz="0" w:space="0" w:color="auto"/>
      </w:divBdr>
    </w:div>
    <w:div w:id="1390300854">
      <w:bodyDiv w:val="1"/>
      <w:marLeft w:val="0"/>
      <w:marRight w:val="0"/>
      <w:marTop w:val="0"/>
      <w:marBottom w:val="0"/>
      <w:divBdr>
        <w:top w:val="none" w:sz="0" w:space="0" w:color="auto"/>
        <w:left w:val="none" w:sz="0" w:space="0" w:color="auto"/>
        <w:bottom w:val="none" w:sz="0" w:space="0" w:color="auto"/>
        <w:right w:val="none" w:sz="0" w:space="0" w:color="auto"/>
      </w:divBdr>
    </w:div>
    <w:div w:id="1392576212">
      <w:bodyDiv w:val="1"/>
      <w:marLeft w:val="0"/>
      <w:marRight w:val="0"/>
      <w:marTop w:val="0"/>
      <w:marBottom w:val="0"/>
      <w:divBdr>
        <w:top w:val="none" w:sz="0" w:space="0" w:color="auto"/>
        <w:left w:val="none" w:sz="0" w:space="0" w:color="auto"/>
        <w:bottom w:val="none" w:sz="0" w:space="0" w:color="auto"/>
        <w:right w:val="none" w:sz="0" w:space="0" w:color="auto"/>
      </w:divBdr>
    </w:div>
    <w:div w:id="1399090748">
      <w:bodyDiv w:val="1"/>
      <w:marLeft w:val="0"/>
      <w:marRight w:val="0"/>
      <w:marTop w:val="0"/>
      <w:marBottom w:val="0"/>
      <w:divBdr>
        <w:top w:val="none" w:sz="0" w:space="0" w:color="auto"/>
        <w:left w:val="none" w:sz="0" w:space="0" w:color="auto"/>
        <w:bottom w:val="none" w:sz="0" w:space="0" w:color="auto"/>
        <w:right w:val="none" w:sz="0" w:space="0" w:color="auto"/>
      </w:divBdr>
    </w:div>
    <w:div w:id="1402949457">
      <w:bodyDiv w:val="1"/>
      <w:marLeft w:val="0"/>
      <w:marRight w:val="0"/>
      <w:marTop w:val="0"/>
      <w:marBottom w:val="0"/>
      <w:divBdr>
        <w:top w:val="none" w:sz="0" w:space="0" w:color="auto"/>
        <w:left w:val="none" w:sz="0" w:space="0" w:color="auto"/>
        <w:bottom w:val="none" w:sz="0" w:space="0" w:color="auto"/>
        <w:right w:val="none" w:sz="0" w:space="0" w:color="auto"/>
      </w:divBdr>
    </w:div>
    <w:div w:id="1419061855">
      <w:bodyDiv w:val="1"/>
      <w:marLeft w:val="0"/>
      <w:marRight w:val="0"/>
      <w:marTop w:val="0"/>
      <w:marBottom w:val="0"/>
      <w:divBdr>
        <w:top w:val="none" w:sz="0" w:space="0" w:color="auto"/>
        <w:left w:val="none" w:sz="0" w:space="0" w:color="auto"/>
        <w:bottom w:val="none" w:sz="0" w:space="0" w:color="auto"/>
        <w:right w:val="none" w:sz="0" w:space="0" w:color="auto"/>
      </w:divBdr>
    </w:div>
    <w:div w:id="1421099060">
      <w:bodyDiv w:val="1"/>
      <w:marLeft w:val="0"/>
      <w:marRight w:val="0"/>
      <w:marTop w:val="0"/>
      <w:marBottom w:val="0"/>
      <w:divBdr>
        <w:top w:val="none" w:sz="0" w:space="0" w:color="auto"/>
        <w:left w:val="none" w:sz="0" w:space="0" w:color="auto"/>
        <w:bottom w:val="none" w:sz="0" w:space="0" w:color="auto"/>
        <w:right w:val="none" w:sz="0" w:space="0" w:color="auto"/>
      </w:divBdr>
      <w:divsChild>
        <w:div w:id="2016299540">
          <w:marLeft w:val="403"/>
          <w:marRight w:val="0"/>
          <w:marTop w:val="0"/>
          <w:marBottom w:val="0"/>
          <w:divBdr>
            <w:top w:val="none" w:sz="0" w:space="0" w:color="auto"/>
            <w:left w:val="none" w:sz="0" w:space="0" w:color="auto"/>
            <w:bottom w:val="none" w:sz="0" w:space="0" w:color="auto"/>
            <w:right w:val="none" w:sz="0" w:space="0" w:color="auto"/>
          </w:divBdr>
        </w:div>
        <w:div w:id="878785578">
          <w:marLeft w:val="403"/>
          <w:marRight w:val="0"/>
          <w:marTop w:val="0"/>
          <w:marBottom w:val="0"/>
          <w:divBdr>
            <w:top w:val="none" w:sz="0" w:space="0" w:color="auto"/>
            <w:left w:val="none" w:sz="0" w:space="0" w:color="auto"/>
            <w:bottom w:val="none" w:sz="0" w:space="0" w:color="auto"/>
            <w:right w:val="none" w:sz="0" w:space="0" w:color="auto"/>
          </w:divBdr>
        </w:div>
        <w:div w:id="1931693927">
          <w:marLeft w:val="403"/>
          <w:marRight w:val="0"/>
          <w:marTop w:val="0"/>
          <w:marBottom w:val="0"/>
          <w:divBdr>
            <w:top w:val="none" w:sz="0" w:space="0" w:color="auto"/>
            <w:left w:val="none" w:sz="0" w:space="0" w:color="auto"/>
            <w:bottom w:val="none" w:sz="0" w:space="0" w:color="auto"/>
            <w:right w:val="none" w:sz="0" w:space="0" w:color="auto"/>
          </w:divBdr>
        </w:div>
        <w:div w:id="943876245">
          <w:marLeft w:val="403"/>
          <w:marRight w:val="0"/>
          <w:marTop w:val="0"/>
          <w:marBottom w:val="0"/>
          <w:divBdr>
            <w:top w:val="none" w:sz="0" w:space="0" w:color="auto"/>
            <w:left w:val="none" w:sz="0" w:space="0" w:color="auto"/>
            <w:bottom w:val="none" w:sz="0" w:space="0" w:color="auto"/>
            <w:right w:val="none" w:sz="0" w:space="0" w:color="auto"/>
          </w:divBdr>
        </w:div>
      </w:divsChild>
    </w:div>
    <w:div w:id="1422725428">
      <w:bodyDiv w:val="1"/>
      <w:marLeft w:val="0"/>
      <w:marRight w:val="0"/>
      <w:marTop w:val="0"/>
      <w:marBottom w:val="0"/>
      <w:divBdr>
        <w:top w:val="none" w:sz="0" w:space="0" w:color="auto"/>
        <w:left w:val="none" w:sz="0" w:space="0" w:color="auto"/>
        <w:bottom w:val="none" w:sz="0" w:space="0" w:color="auto"/>
        <w:right w:val="none" w:sz="0" w:space="0" w:color="auto"/>
      </w:divBdr>
    </w:div>
    <w:div w:id="1426489129">
      <w:bodyDiv w:val="1"/>
      <w:marLeft w:val="0"/>
      <w:marRight w:val="0"/>
      <w:marTop w:val="0"/>
      <w:marBottom w:val="0"/>
      <w:divBdr>
        <w:top w:val="none" w:sz="0" w:space="0" w:color="auto"/>
        <w:left w:val="none" w:sz="0" w:space="0" w:color="auto"/>
        <w:bottom w:val="none" w:sz="0" w:space="0" w:color="auto"/>
        <w:right w:val="none" w:sz="0" w:space="0" w:color="auto"/>
      </w:divBdr>
    </w:div>
    <w:div w:id="1426875283">
      <w:bodyDiv w:val="1"/>
      <w:marLeft w:val="0"/>
      <w:marRight w:val="0"/>
      <w:marTop w:val="0"/>
      <w:marBottom w:val="0"/>
      <w:divBdr>
        <w:top w:val="none" w:sz="0" w:space="0" w:color="auto"/>
        <w:left w:val="none" w:sz="0" w:space="0" w:color="auto"/>
        <w:bottom w:val="none" w:sz="0" w:space="0" w:color="auto"/>
        <w:right w:val="none" w:sz="0" w:space="0" w:color="auto"/>
      </w:divBdr>
    </w:div>
    <w:div w:id="1443652507">
      <w:bodyDiv w:val="1"/>
      <w:marLeft w:val="0"/>
      <w:marRight w:val="0"/>
      <w:marTop w:val="0"/>
      <w:marBottom w:val="0"/>
      <w:divBdr>
        <w:top w:val="none" w:sz="0" w:space="0" w:color="auto"/>
        <w:left w:val="none" w:sz="0" w:space="0" w:color="auto"/>
        <w:bottom w:val="none" w:sz="0" w:space="0" w:color="auto"/>
        <w:right w:val="none" w:sz="0" w:space="0" w:color="auto"/>
      </w:divBdr>
    </w:div>
    <w:div w:id="1444151990">
      <w:bodyDiv w:val="1"/>
      <w:marLeft w:val="0"/>
      <w:marRight w:val="0"/>
      <w:marTop w:val="0"/>
      <w:marBottom w:val="0"/>
      <w:divBdr>
        <w:top w:val="none" w:sz="0" w:space="0" w:color="auto"/>
        <w:left w:val="none" w:sz="0" w:space="0" w:color="auto"/>
        <w:bottom w:val="none" w:sz="0" w:space="0" w:color="auto"/>
        <w:right w:val="none" w:sz="0" w:space="0" w:color="auto"/>
      </w:divBdr>
    </w:div>
    <w:div w:id="1451705065">
      <w:bodyDiv w:val="1"/>
      <w:marLeft w:val="0"/>
      <w:marRight w:val="0"/>
      <w:marTop w:val="0"/>
      <w:marBottom w:val="0"/>
      <w:divBdr>
        <w:top w:val="none" w:sz="0" w:space="0" w:color="auto"/>
        <w:left w:val="none" w:sz="0" w:space="0" w:color="auto"/>
        <w:bottom w:val="none" w:sz="0" w:space="0" w:color="auto"/>
        <w:right w:val="none" w:sz="0" w:space="0" w:color="auto"/>
      </w:divBdr>
    </w:div>
    <w:div w:id="1459446599">
      <w:bodyDiv w:val="1"/>
      <w:marLeft w:val="0"/>
      <w:marRight w:val="0"/>
      <w:marTop w:val="0"/>
      <w:marBottom w:val="0"/>
      <w:divBdr>
        <w:top w:val="none" w:sz="0" w:space="0" w:color="auto"/>
        <w:left w:val="none" w:sz="0" w:space="0" w:color="auto"/>
        <w:bottom w:val="none" w:sz="0" w:space="0" w:color="auto"/>
        <w:right w:val="none" w:sz="0" w:space="0" w:color="auto"/>
      </w:divBdr>
    </w:div>
    <w:div w:id="1463423204">
      <w:bodyDiv w:val="1"/>
      <w:marLeft w:val="0"/>
      <w:marRight w:val="0"/>
      <w:marTop w:val="0"/>
      <w:marBottom w:val="0"/>
      <w:divBdr>
        <w:top w:val="none" w:sz="0" w:space="0" w:color="auto"/>
        <w:left w:val="none" w:sz="0" w:space="0" w:color="auto"/>
        <w:bottom w:val="none" w:sz="0" w:space="0" w:color="auto"/>
        <w:right w:val="none" w:sz="0" w:space="0" w:color="auto"/>
      </w:divBdr>
    </w:div>
    <w:div w:id="1469854110">
      <w:bodyDiv w:val="1"/>
      <w:marLeft w:val="0"/>
      <w:marRight w:val="0"/>
      <w:marTop w:val="0"/>
      <w:marBottom w:val="0"/>
      <w:divBdr>
        <w:top w:val="none" w:sz="0" w:space="0" w:color="auto"/>
        <w:left w:val="none" w:sz="0" w:space="0" w:color="auto"/>
        <w:bottom w:val="none" w:sz="0" w:space="0" w:color="auto"/>
        <w:right w:val="none" w:sz="0" w:space="0" w:color="auto"/>
      </w:divBdr>
    </w:div>
    <w:div w:id="1469934065">
      <w:bodyDiv w:val="1"/>
      <w:marLeft w:val="0"/>
      <w:marRight w:val="0"/>
      <w:marTop w:val="0"/>
      <w:marBottom w:val="0"/>
      <w:divBdr>
        <w:top w:val="none" w:sz="0" w:space="0" w:color="auto"/>
        <w:left w:val="none" w:sz="0" w:space="0" w:color="auto"/>
        <w:bottom w:val="none" w:sz="0" w:space="0" w:color="auto"/>
        <w:right w:val="none" w:sz="0" w:space="0" w:color="auto"/>
      </w:divBdr>
      <w:divsChild>
        <w:div w:id="270401765">
          <w:marLeft w:val="480"/>
          <w:marRight w:val="0"/>
          <w:marTop w:val="0"/>
          <w:marBottom w:val="0"/>
          <w:divBdr>
            <w:top w:val="none" w:sz="0" w:space="0" w:color="auto"/>
            <w:left w:val="none" w:sz="0" w:space="0" w:color="auto"/>
            <w:bottom w:val="none" w:sz="0" w:space="0" w:color="auto"/>
            <w:right w:val="none" w:sz="0" w:space="0" w:color="auto"/>
          </w:divBdr>
          <w:divsChild>
            <w:div w:id="20643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6798">
      <w:bodyDiv w:val="1"/>
      <w:marLeft w:val="0"/>
      <w:marRight w:val="0"/>
      <w:marTop w:val="0"/>
      <w:marBottom w:val="0"/>
      <w:divBdr>
        <w:top w:val="none" w:sz="0" w:space="0" w:color="auto"/>
        <w:left w:val="none" w:sz="0" w:space="0" w:color="auto"/>
        <w:bottom w:val="none" w:sz="0" w:space="0" w:color="auto"/>
        <w:right w:val="none" w:sz="0" w:space="0" w:color="auto"/>
      </w:divBdr>
    </w:div>
    <w:div w:id="1472820655">
      <w:bodyDiv w:val="1"/>
      <w:marLeft w:val="0"/>
      <w:marRight w:val="0"/>
      <w:marTop w:val="0"/>
      <w:marBottom w:val="0"/>
      <w:divBdr>
        <w:top w:val="none" w:sz="0" w:space="0" w:color="auto"/>
        <w:left w:val="none" w:sz="0" w:space="0" w:color="auto"/>
        <w:bottom w:val="none" w:sz="0" w:space="0" w:color="auto"/>
        <w:right w:val="none" w:sz="0" w:space="0" w:color="auto"/>
      </w:divBdr>
      <w:divsChild>
        <w:div w:id="1544978263">
          <w:marLeft w:val="446"/>
          <w:marRight w:val="0"/>
          <w:marTop w:val="0"/>
          <w:marBottom w:val="0"/>
          <w:divBdr>
            <w:top w:val="none" w:sz="0" w:space="0" w:color="auto"/>
            <w:left w:val="none" w:sz="0" w:space="0" w:color="auto"/>
            <w:bottom w:val="none" w:sz="0" w:space="0" w:color="auto"/>
            <w:right w:val="none" w:sz="0" w:space="0" w:color="auto"/>
          </w:divBdr>
        </w:div>
      </w:divsChild>
    </w:div>
    <w:div w:id="1479759660">
      <w:bodyDiv w:val="1"/>
      <w:marLeft w:val="0"/>
      <w:marRight w:val="0"/>
      <w:marTop w:val="0"/>
      <w:marBottom w:val="0"/>
      <w:divBdr>
        <w:top w:val="none" w:sz="0" w:space="0" w:color="auto"/>
        <w:left w:val="none" w:sz="0" w:space="0" w:color="auto"/>
        <w:bottom w:val="none" w:sz="0" w:space="0" w:color="auto"/>
        <w:right w:val="none" w:sz="0" w:space="0" w:color="auto"/>
      </w:divBdr>
    </w:div>
    <w:div w:id="1480730762">
      <w:bodyDiv w:val="1"/>
      <w:marLeft w:val="0"/>
      <w:marRight w:val="0"/>
      <w:marTop w:val="0"/>
      <w:marBottom w:val="0"/>
      <w:divBdr>
        <w:top w:val="none" w:sz="0" w:space="0" w:color="auto"/>
        <w:left w:val="none" w:sz="0" w:space="0" w:color="auto"/>
        <w:bottom w:val="none" w:sz="0" w:space="0" w:color="auto"/>
        <w:right w:val="none" w:sz="0" w:space="0" w:color="auto"/>
      </w:divBdr>
    </w:div>
    <w:div w:id="1493370873">
      <w:bodyDiv w:val="1"/>
      <w:marLeft w:val="0"/>
      <w:marRight w:val="0"/>
      <w:marTop w:val="0"/>
      <w:marBottom w:val="0"/>
      <w:divBdr>
        <w:top w:val="none" w:sz="0" w:space="0" w:color="auto"/>
        <w:left w:val="none" w:sz="0" w:space="0" w:color="auto"/>
        <w:bottom w:val="none" w:sz="0" w:space="0" w:color="auto"/>
        <w:right w:val="none" w:sz="0" w:space="0" w:color="auto"/>
      </w:divBdr>
    </w:div>
    <w:div w:id="1493793757">
      <w:bodyDiv w:val="1"/>
      <w:marLeft w:val="0"/>
      <w:marRight w:val="0"/>
      <w:marTop w:val="0"/>
      <w:marBottom w:val="0"/>
      <w:divBdr>
        <w:top w:val="none" w:sz="0" w:space="0" w:color="auto"/>
        <w:left w:val="none" w:sz="0" w:space="0" w:color="auto"/>
        <w:bottom w:val="none" w:sz="0" w:space="0" w:color="auto"/>
        <w:right w:val="none" w:sz="0" w:space="0" w:color="auto"/>
      </w:divBdr>
    </w:div>
    <w:div w:id="1498954615">
      <w:bodyDiv w:val="1"/>
      <w:marLeft w:val="0"/>
      <w:marRight w:val="0"/>
      <w:marTop w:val="0"/>
      <w:marBottom w:val="0"/>
      <w:divBdr>
        <w:top w:val="none" w:sz="0" w:space="0" w:color="auto"/>
        <w:left w:val="none" w:sz="0" w:space="0" w:color="auto"/>
        <w:bottom w:val="none" w:sz="0" w:space="0" w:color="auto"/>
        <w:right w:val="none" w:sz="0" w:space="0" w:color="auto"/>
      </w:divBdr>
    </w:div>
    <w:div w:id="1508129257">
      <w:bodyDiv w:val="1"/>
      <w:marLeft w:val="0"/>
      <w:marRight w:val="0"/>
      <w:marTop w:val="0"/>
      <w:marBottom w:val="0"/>
      <w:divBdr>
        <w:top w:val="none" w:sz="0" w:space="0" w:color="auto"/>
        <w:left w:val="none" w:sz="0" w:space="0" w:color="auto"/>
        <w:bottom w:val="none" w:sz="0" w:space="0" w:color="auto"/>
        <w:right w:val="none" w:sz="0" w:space="0" w:color="auto"/>
      </w:divBdr>
      <w:divsChild>
        <w:div w:id="832139895">
          <w:marLeft w:val="0"/>
          <w:marRight w:val="0"/>
          <w:marTop w:val="0"/>
          <w:marBottom w:val="0"/>
          <w:divBdr>
            <w:top w:val="none" w:sz="0" w:space="0" w:color="auto"/>
            <w:left w:val="none" w:sz="0" w:space="0" w:color="auto"/>
            <w:bottom w:val="none" w:sz="0" w:space="0" w:color="auto"/>
            <w:right w:val="none" w:sz="0" w:space="0" w:color="auto"/>
          </w:divBdr>
          <w:divsChild>
            <w:div w:id="255938924">
              <w:marLeft w:val="0"/>
              <w:marRight w:val="0"/>
              <w:marTop w:val="0"/>
              <w:marBottom w:val="0"/>
              <w:divBdr>
                <w:top w:val="none" w:sz="0" w:space="0" w:color="auto"/>
                <w:left w:val="none" w:sz="0" w:space="0" w:color="auto"/>
                <w:bottom w:val="none" w:sz="0" w:space="0" w:color="auto"/>
                <w:right w:val="none" w:sz="0" w:space="0" w:color="auto"/>
              </w:divBdr>
              <w:divsChild>
                <w:div w:id="1106080136">
                  <w:marLeft w:val="-240"/>
                  <w:marRight w:val="-240"/>
                  <w:marTop w:val="0"/>
                  <w:marBottom w:val="0"/>
                  <w:divBdr>
                    <w:top w:val="none" w:sz="0" w:space="0" w:color="auto"/>
                    <w:left w:val="none" w:sz="0" w:space="0" w:color="auto"/>
                    <w:bottom w:val="none" w:sz="0" w:space="0" w:color="auto"/>
                    <w:right w:val="none" w:sz="0" w:space="0" w:color="auto"/>
                  </w:divBdr>
                  <w:divsChild>
                    <w:div w:id="1219703843">
                      <w:marLeft w:val="0"/>
                      <w:marRight w:val="0"/>
                      <w:marTop w:val="0"/>
                      <w:marBottom w:val="0"/>
                      <w:divBdr>
                        <w:top w:val="none" w:sz="0" w:space="0" w:color="auto"/>
                        <w:left w:val="none" w:sz="0" w:space="0" w:color="auto"/>
                        <w:bottom w:val="none" w:sz="0" w:space="0" w:color="auto"/>
                        <w:right w:val="none" w:sz="0" w:space="0" w:color="auto"/>
                      </w:divBdr>
                      <w:divsChild>
                        <w:div w:id="1994411307">
                          <w:marLeft w:val="0"/>
                          <w:marRight w:val="0"/>
                          <w:marTop w:val="0"/>
                          <w:marBottom w:val="0"/>
                          <w:divBdr>
                            <w:top w:val="none" w:sz="0" w:space="0" w:color="auto"/>
                            <w:left w:val="none" w:sz="0" w:space="0" w:color="auto"/>
                            <w:bottom w:val="none" w:sz="0" w:space="0" w:color="auto"/>
                            <w:right w:val="none" w:sz="0" w:space="0" w:color="auto"/>
                          </w:divBdr>
                        </w:div>
                        <w:div w:id="1755593063">
                          <w:marLeft w:val="0"/>
                          <w:marRight w:val="0"/>
                          <w:marTop w:val="0"/>
                          <w:marBottom w:val="0"/>
                          <w:divBdr>
                            <w:top w:val="none" w:sz="0" w:space="0" w:color="auto"/>
                            <w:left w:val="none" w:sz="0" w:space="0" w:color="auto"/>
                            <w:bottom w:val="none" w:sz="0" w:space="0" w:color="auto"/>
                            <w:right w:val="none" w:sz="0" w:space="0" w:color="auto"/>
                          </w:divBdr>
                          <w:divsChild>
                            <w:div w:id="741485370">
                              <w:marLeft w:val="165"/>
                              <w:marRight w:val="165"/>
                              <w:marTop w:val="0"/>
                              <w:marBottom w:val="0"/>
                              <w:divBdr>
                                <w:top w:val="none" w:sz="0" w:space="0" w:color="auto"/>
                                <w:left w:val="none" w:sz="0" w:space="0" w:color="auto"/>
                                <w:bottom w:val="none" w:sz="0" w:space="0" w:color="auto"/>
                                <w:right w:val="none" w:sz="0" w:space="0" w:color="auto"/>
                              </w:divBdr>
                              <w:divsChild>
                                <w:div w:id="1524902396">
                                  <w:marLeft w:val="0"/>
                                  <w:marRight w:val="0"/>
                                  <w:marTop w:val="0"/>
                                  <w:marBottom w:val="0"/>
                                  <w:divBdr>
                                    <w:top w:val="none" w:sz="0" w:space="0" w:color="auto"/>
                                    <w:left w:val="none" w:sz="0" w:space="0" w:color="auto"/>
                                    <w:bottom w:val="none" w:sz="0" w:space="0" w:color="auto"/>
                                    <w:right w:val="none" w:sz="0" w:space="0" w:color="auto"/>
                                  </w:divBdr>
                                  <w:divsChild>
                                    <w:div w:id="3748945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557939">
      <w:bodyDiv w:val="1"/>
      <w:marLeft w:val="0"/>
      <w:marRight w:val="0"/>
      <w:marTop w:val="0"/>
      <w:marBottom w:val="0"/>
      <w:divBdr>
        <w:top w:val="none" w:sz="0" w:space="0" w:color="auto"/>
        <w:left w:val="none" w:sz="0" w:space="0" w:color="auto"/>
        <w:bottom w:val="none" w:sz="0" w:space="0" w:color="auto"/>
        <w:right w:val="none" w:sz="0" w:space="0" w:color="auto"/>
      </w:divBdr>
      <w:divsChild>
        <w:div w:id="198400065">
          <w:marLeft w:val="0"/>
          <w:marRight w:val="0"/>
          <w:marTop w:val="0"/>
          <w:marBottom w:val="0"/>
          <w:divBdr>
            <w:top w:val="none" w:sz="0" w:space="0" w:color="auto"/>
            <w:left w:val="none" w:sz="0" w:space="0" w:color="auto"/>
            <w:bottom w:val="none" w:sz="0" w:space="0" w:color="auto"/>
            <w:right w:val="none" w:sz="0" w:space="0" w:color="auto"/>
          </w:divBdr>
        </w:div>
      </w:divsChild>
    </w:div>
    <w:div w:id="1511523712">
      <w:bodyDiv w:val="1"/>
      <w:marLeft w:val="0"/>
      <w:marRight w:val="0"/>
      <w:marTop w:val="0"/>
      <w:marBottom w:val="0"/>
      <w:divBdr>
        <w:top w:val="none" w:sz="0" w:space="0" w:color="auto"/>
        <w:left w:val="none" w:sz="0" w:space="0" w:color="auto"/>
        <w:bottom w:val="none" w:sz="0" w:space="0" w:color="auto"/>
        <w:right w:val="none" w:sz="0" w:space="0" w:color="auto"/>
      </w:divBdr>
    </w:div>
    <w:div w:id="1513641503">
      <w:bodyDiv w:val="1"/>
      <w:marLeft w:val="0"/>
      <w:marRight w:val="0"/>
      <w:marTop w:val="0"/>
      <w:marBottom w:val="0"/>
      <w:divBdr>
        <w:top w:val="none" w:sz="0" w:space="0" w:color="auto"/>
        <w:left w:val="none" w:sz="0" w:space="0" w:color="auto"/>
        <w:bottom w:val="none" w:sz="0" w:space="0" w:color="auto"/>
        <w:right w:val="none" w:sz="0" w:space="0" w:color="auto"/>
      </w:divBdr>
      <w:divsChild>
        <w:div w:id="2144344279">
          <w:marLeft w:val="288"/>
          <w:marRight w:val="0"/>
          <w:marTop w:val="80"/>
          <w:marBottom w:val="0"/>
          <w:divBdr>
            <w:top w:val="none" w:sz="0" w:space="0" w:color="auto"/>
            <w:left w:val="none" w:sz="0" w:space="0" w:color="auto"/>
            <w:bottom w:val="none" w:sz="0" w:space="0" w:color="auto"/>
            <w:right w:val="none" w:sz="0" w:space="0" w:color="auto"/>
          </w:divBdr>
        </w:div>
        <w:div w:id="1822305747">
          <w:marLeft w:val="288"/>
          <w:marRight w:val="0"/>
          <w:marTop w:val="80"/>
          <w:marBottom w:val="0"/>
          <w:divBdr>
            <w:top w:val="none" w:sz="0" w:space="0" w:color="auto"/>
            <w:left w:val="none" w:sz="0" w:space="0" w:color="auto"/>
            <w:bottom w:val="none" w:sz="0" w:space="0" w:color="auto"/>
            <w:right w:val="none" w:sz="0" w:space="0" w:color="auto"/>
          </w:divBdr>
        </w:div>
        <w:div w:id="962997153">
          <w:marLeft w:val="288"/>
          <w:marRight w:val="0"/>
          <w:marTop w:val="80"/>
          <w:marBottom w:val="0"/>
          <w:divBdr>
            <w:top w:val="none" w:sz="0" w:space="0" w:color="auto"/>
            <w:left w:val="none" w:sz="0" w:space="0" w:color="auto"/>
            <w:bottom w:val="none" w:sz="0" w:space="0" w:color="auto"/>
            <w:right w:val="none" w:sz="0" w:space="0" w:color="auto"/>
          </w:divBdr>
        </w:div>
      </w:divsChild>
    </w:div>
    <w:div w:id="1515532165">
      <w:bodyDiv w:val="1"/>
      <w:marLeft w:val="0"/>
      <w:marRight w:val="0"/>
      <w:marTop w:val="0"/>
      <w:marBottom w:val="0"/>
      <w:divBdr>
        <w:top w:val="none" w:sz="0" w:space="0" w:color="auto"/>
        <w:left w:val="none" w:sz="0" w:space="0" w:color="auto"/>
        <w:bottom w:val="none" w:sz="0" w:space="0" w:color="auto"/>
        <w:right w:val="none" w:sz="0" w:space="0" w:color="auto"/>
      </w:divBdr>
    </w:div>
    <w:div w:id="1519274045">
      <w:bodyDiv w:val="1"/>
      <w:marLeft w:val="0"/>
      <w:marRight w:val="0"/>
      <w:marTop w:val="0"/>
      <w:marBottom w:val="0"/>
      <w:divBdr>
        <w:top w:val="none" w:sz="0" w:space="0" w:color="auto"/>
        <w:left w:val="none" w:sz="0" w:space="0" w:color="auto"/>
        <w:bottom w:val="none" w:sz="0" w:space="0" w:color="auto"/>
        <w:right w:val="none" w:sz="0" w:space="0" w:color="auto"/>
      </w:divBdr>
    </w:div>
    <w:div w:id="1520460729">
      <w:bodyDiv w:val="1"/>
      <w:marLeft w:val="0"/>
      <w:marRight w:val="0"/>
      <w:marTop w:val="0"/>
      <w:marBottom w:val="0"/>
      <w:divBdr>
        <w:top w:val="none" w:sz="0" w:space="0" w:color="auto"/>
        <w:left w:val="none" w:sz="0" w:space="0" w:color="auto"/>
        <w:bottom w:val="none" w:sz="0" w:space="0" w:color="auto"/>
        <w:right w:val="none" w:sz="0" w:space="0" w:color="auto"/>
      </w:divBdr>
      <w:divsChild>
        <w:div w:id="475222627">
          <w:marLeft w:val="288"/>
          <w:marRight w:val="0"/>
          <w:marTop w:val="80"/>
          <w:marBottom w:val="0"/>
          <w:divBdr>
            <w:top w:val="none" w:sz="0" w:space="0" w:color="auto"/>
            <w:left w:val="none" w:sz="0" w:space="0" w:color="auto"/>
            <w:bottom w:val="none" w:sz="0" w:space="0" w:color="auto"/>
            <w:right w:val="none" w:sz="0" w:space="0" w:color="auto"/>
          </w:divBdr>
        </w:div>
        <w:div w:id="546181918">
          <w:marLeft w:val="288"/>
          <w:marRight w:val="0"/>
          <w:marTop w:val="80"/>
          <w:marBottom w:val="0"/>
          <w:divBdr>
            <w:top w:val="none" w:sz="0" w:space="0" w:color="auto"/>
            <w:left w:val="none" w:sz="0" w:space="0" w:color="auto"/>
            <w:bottom w:val="none" w:sz="0" w:space="0" w:color="auto"/>
            <w:right w:val="none" w:sz="0" w:space="0" w:color="auto"/>
          </w:divBdr>
        </w:div>
        <w:div w:id="854463118">
          <w:marLeft w:val="288"/>
          <w:marRight w:val="0"/>
          <w:marTop w:val="80"/>
          <w:marBottom w:val="0"/>
          <w:divBdr>
            <w:top w:val="none" w:sz="0" w:space="0" w:color="auto"/>
            <w:left w:val="none" w:sz="0" w:space="0" w:color="auto"/>
            <w:bottom w:val="none" w:sz="0" w:space="0" w:color="auto"/>
            <w:right w:val="none" w:sz="0" w:space="0" w:color="auto"/>
          </w:divBdr>
        </w:div>
        <w:div w:id="1121729009">
          <w:marLeft w:val="288"/>
          <w:marRight w:val="0"/>
          <w:marTop w:val="80"/>
          <w:marBottom w:val="0"/>
          <w:divBdr>
            <w:top w:val="none" w:sz="0" w:space="0" w:color="auto"/>
            <w:left w:val="none" w:sz="0" w:space="0" w:color="auto"/>
            <w:bottom w:val="none" w:sz="0" w:space="0" w:color="auto"/>
            <w:right w:val="none" w:sz="0" w:space="0" w:color="auto"/>
          </w:divBdr>
        </w:div>
        <w:div w:id="532233301">
          <w:marLeft w:val="288"/>
          <w:marRight w:val="0"/>
          <w:marTop w:val="80"/>
          <w:marBottom w:val="0"/>
          <w:divBdr>
            <w:top w:val="none" w:sz="0" w:space="0" w:color="auto"/>
            <w:left w:val="none" w:sz="0" w:space="0" w:color="auto"/>
            <w:bottom w:val="none" w:sz="0" w:space="0" w:color="auto"/>
            <w:right w:val="none" w:sz="0" w:space="0" w:color="auto"/>
          </w:divBdr>
        </w:div>
        <w:div w:id="835846597">
          <w:marLeft w:val="288"/>
          <w:marRight w:val="0"/>
          <w:marTop w:val="80"/>
          <w:marBottom w:val="0"/>
          <w:divBdr>
            <w:top w:val="none" w:sz="0" w:space="0" w:color="auto"/>
            <w:left w:val="none" w:sz="0" w:space="0" w:color="auto"/>
            <w:bottom w:val="none" w:sz="0" w:space="0" w:color="auto"/>
            <w:right w:val="none" w:sz="0" w:space="0" w:color="auto"/>
          </w:divBdr>
        </w:div>
      </w:divsChild>
    </w:div>
    <w:div w:id="1522932142">
      <w:bodyDiv w:val="1"/>
      <w:marLeft w:val="0"/>
      <w:marRight w:val="0"/>
      <w:marTop w:val="0"/>
      <w:marBottom w:val="0"/>
      <w:divBdr>
        <w:top w:val="none" w:sz="0" w:space="0" w:color="auto"/>
        <w:left w:val="none" w:sz="0" w:space="0" w:color="auto"/>
        <w:bottom w:val="none" w:sz="0" w:space="0" w:color="auto"/>
        <w:right w:val="none" w:sz="0" w:space="0" w:color="auto"/>
      </w:divBdr>
    </w:div>
    <w:div w:id="1531844936">
      <w:bodyDiv w:val="1"/>
      <w:marLeft w:val="0"/>
      <w:marRight w:val="0"/>
      <w:marTop w:val="0"/>
      <w:marBottom w:val="0"/>
      <w:divBdr>
        <w:top w:val="none" w:sz="0" w:space="0" w:color="auto"/>
        <w:left w:val="none" w:sz="0" w:space="0" w:color="auto"/>
        <w:bottom w:val="none" w:sz="0" w:space="0" w:color="auto"/>
        <w:right w:val="none" w:sz="0" w:space="0" w:color="auto"/>
      </w:divBdr>
    </w:div>
    <w:div w:id="1540240307">
      <w:bodyDiv w:val="1"/>
      <w:marLeft w:val="0"/>
      <w:marRight w:val="0"/>
      <w:marTop w:val="0"/>
      <w:marBottom w:val="0"/>
      <w:divBdr>
        <w:top w:val="none" w:sz="0" w:space="0" w:color="auto"/>
        <w:left w:val="none" w:sz="0" w:space="0" w:color="auto"/>
        <w:bottom w:val="none" w:sz="0" w:space="0" w:color="auto"/>
        <w:right w:val="none" w:sz="0" w:space="0" w:color="auto"/>
      </w:divBdr>
    </w:div>
    <w:div w:id="1542127762">
      <w:bodyDiv w:val="1"/>
      <w:marLeft w:val="0"/>
      <w:marRight w:val="0"/>
      <w:marTop w:val="0"/>
      <w:marBottom w:val="0"/>
      <w:divBdr>
        <w:top w:val="none" w:sz="0" w:space="0" w:color="auto"/>
        <w:left w:val="none" w:sz="0" w:space="0" w:color="auto"/>
        <w:bottom w:val="none" w:sz="0" w:space="0" w:color="auto"/>
        <w:right w:val="none" w:sz="0" w:space="0" w:color="auto"/>
      </w:divBdr>
    </w:div>
    <w:div w:id="1547447191">
      <w:bodyDiv w:val="1"/>
      <w:marLeft w:val="0"/>
      <w:marRight w:val="0"/>
      <w:marTop w:val="0"/>
      <w:marBottom w:val="0"/>
      <w:divBdr>
        <w:top w:val="none" w:sz="0" w:space="0" w:color="auto"/>
        <w:left w:val="none" w:sz="0" w:space="0" w:color="auto"/>
        <w:bottom w:val="none" w:sz="0" w:space="0" w:color="auto"/>
        <w:right w:val="none" w:sz="0" w:space="0" w:color="auto"/>
      </w:divBdr>
    </w:div>
    <w:div w:id="1555655852">
      <w:bodyDiv w:val="1"/>
      <w:marLeft w:val="0"/>
      <w:marRight w:val="0"/>
      <w:marTop w:val="0"/>
      <w:marBottom w:val="0"/>
      <w:divBdr>
        <w:top w:val="none" w:sz="0" w:space="0" w:color="auto"/>
        <w:left w:val="none" w:sz="0" w:space="0" w:color="auto"/>
        <w:bottom w:val="none" w:sz="0" w:space="0" w:color="auto"/>
        <w:right w:val="none" w:sz="0" w:space="0" w:color="auto"/>
      </w:divBdr>
    </w:div>
    <w:div w:id="1557356036">
      <w:bodyDiv w:val="1"/>
      <w:marLeft w:val="0"/>
      <w:marRight w:val="0"/>
      <w:marTop w:val="0"/>
      <w:marBottom w:val="0"/>
      <w:divBdr>
        <w:top w:val="none" w:sz="0" w:space="0" w:color="auto"/>
        <w:left w:val="none" w:sz="0" w:space="0" w:color="auto"/>
        <w:bottom w:val="none" w:sz="0" w:space="0" w:color="auto"/>
        <w:right w:val="none" w:sz="0" w:space="0" w:color="auto"/>
      </w:divBdr>
    </w:div>
    <w:div w:id="1559323685">
      <w:bodyDiv w:val="1"/>
      <w:marLeft w:val="0"/>
      <w:marRight w:val="0"/>
      <w:marTop w:val="0"/>
      <w:marBottom w:val="0"/>
      <w:divBdr>
        <w:top w:val="none" w:sz="0" w:space="0" w:color="auto"/>
        <w:left w:val="none" w:sz="0" w:space="0" w:color="auto"/>
        <w:bottom w:val="none" w:sz="0" w:space="0" w:color="auto"/>
        <w:right w:val="none" w:sz="0" w:space="0" w:color="auto"/>
      </w:divBdr>
      <w:divsChild>
        <w:div w:id="1793162654">
          <w:marLeft w:val="0"/>
          <w:marRight w:val="0"/>
          <w:marTop w:val="0"/>
          <w:marBottom w:val="0"/>
          <w:divBdr>
            <w:top w:val="none" w:sz="0" w:space="0" w:color="auto"/>
            <w:left w:val="none" w:sz="0" w:space="0" w:color="auto"/>
            <w:bottom w:val="none" w:sz="0" w:space="0" w:color="auto"/>
            <w:right w:val="none" w:sz="0" w:space="0" w:color="auto"/>
          </w:divBdr>
        </w:div>
        <w:div w:id="1107196680">
          <w:marLeft w:val="0"/>
          <w:marRight w:val="0"/>
          <w:marTop w:val="0"/>
          <w:marBottom w:val="0"/>
          <w:divBdr>
            <w:top w:val="none" w:sz="0" w:space="0" w:color="auto"/>
            <w:left w:val="none" w:sz="0" w:space="0" w:color="auto"/>
            <w:bottom w:val="none" w:sz="0" w:space="0" w:color="auto"/>
            <w:right w:val="none" w:sz="0" w:space="0" w:color="auto"/>
          </w:divBdr>
        </w:div>
        <w:div w:id="1894348998">
          <w:marLeft w:val="0"/>
          <w:marRight w:val="0"/>
          <w:marTop w:val="0"/>
          <w:marBottom w:val="0"/>
          <w:divBdr>
            <w:top w:val="none" w:sz="0" w:space="0" w:color="auto"/>
            <w:left w:val="none" w:sz="0" w:space="0" w:color="auto"/>
            <w:bottom w:val="none" w:sz="0" w:space="0" w:color="auto"/>
            <w:right w:val="none" w:sz="0" w:space="0" w:color="auto"/>
          </w:divBdr>
        </w:div>
        <w:div w:id="848368106">
          <w:marLeft w:val="0"/>
          <w:marRight w:val="0"/>
          <w:marTop w:val="0"/>
          <w:marBottom w:val="0"/>
          <w:divBdr>
            <w:top w:val="none" w:sz="0" w:space="0" w:color="auto"/>
            <w:left w:val="none" w:sz="0" w:space="0" w:color="auto"/>
            <w:bottom w:val="none" w:sz="0" w:space="0" w:color="auto"/>
            <w:right w:val="none" w:sz="0" w:space="0" w:color="auto"/>
          </w:divBdr>
        </w:div>
        <w:div w:id="246884230">
          <w:marLeft w:val="0"/>
          <w:marRight w:val="0"/>
          <w:marTop w:val="0"/>
          <w:marBottom w:val="0"/>
          <w:divBdr>
            <w:top w:val="none" w:sz="0" w:space="0" w:color="auto"/>
            <w:left w:val="none" w:sz="0" w:space="0" w:color="auto"/>
            <w:bottom w:val="none" w:sz="0" w:space="0" w:color="auto"/>
            <w:right w:val="none" w:sz="0" w:space="0" w:color="auto"/>
          </w:divBdr>
        </w:div>
        <w:div w:id="154340679">
          <w:marLeft w:val="0"/>
          <w:marRight w:val="0"/>
          <w:marTop w:val="0"/>
          <w:marBottom w:val="0"/>
          <w:divBdr>
            <w:top w:val="none" w:sz="0" w:space="0" w:color="auto"/>
            <w:left w:val="none" w:sz="0" w:space="0" w:color="auto"/>
            <w:bottom w:val="none" w:sz="0" w:space="0" w:color="auto"/>
            <w:right w:val="none" w:sz="0" w:space="0" w:color="auto"/>
          </w:divBdr>
        </w:div>
      </w:divsChild>
    </w:div>
    <w:div w:id="1561553755">
      <w:bodyDiv w:val="1"/>
      <w:marLeft w:val="0"/>
      <w:marRight w:val="0"/>
      <w:marTop w:val="0"/>
      <w:marBottom w:val="0"/>
      <w:divBdr>
        <w:top w:val="none" w:sz="0" w:space="0" w:color="auto"/>
        <w:left w:val="none" w:sz="0" w:space="0" w:color="auto"/>
        <w:bottom w:val="none" w:sz="0" w:space="0" w:color="auto"/>
        <w:right w:val="none" w:sz="0" w:space="0" w:color="auto"/>
      </w:divBdr>
      <w:divsChild>
        <w:div w:id="146630254">
          <w:marLeft w:val="0"/>
          <w:marRight w:val="0"/>
          <w:marTop w:val="0"/>
          <w:marBottom w:val="0"/>
          <w:divBdr>
            <w:top w:val="none" w:sz="0" w:space="0" w:color="auto"/>
            <w:left w:val="none" w:sz="0" w:space="0" w:color="auto"/>
            <w:bottom w:val="none" w:sz="0" w:space="0" w:color="auto"/>
            <w:right w:val="none" w:sz="0" w:space="0" w:color="auto"/>
          </w:divBdr>
        </w:div>
        <w:div w:id="1769809595">
          <w:marLeft w:val="0"/>
          <w:marRight w:val="0"/>
          <w:marTop w:val="0"/>
          <w:marBottom w:val="0"/>
          <w:divBdr>
            <w:top w:val="none" w:sz="0" w:space="0" w:color="auto"/>
            <w:left w:val="none" w:sz="0" w:space="0" w:color="auto"/>
            <w:bottom w:val="none" w:sz="0" w:space="0" w:color="auto"/>
            <w:right w:val="none" w:sz="0" w:space="0" w:color="auto"/>
          </w:divBdr>
        </w:div>
        <w:div w:id="254023504">
          <w:marLeft w:val="0"/>
          <w:marRight w:val="0"/>
          <w:marTop w:val="0"/>
          <w:marBottom w:val="0"/>
          <w:divBdr>
            <w:top w:val="none" w:sz="0" w:space="0" w:color="auto"/>
            <w:left w:val="none" w:sz="0" w:space="0" w:color="auto"/>
            <w:bottom w:val="none" w:sz="0" w:space="0" w:color="auto"/>
            <w:right w:val="none" w:sz="0" w:space="0" w:color="auto"/>
          </w:divBdr>
        </w:div>
      </w:divsChild>
    </w:div>
    <w:div w:id="1575355630">
      <w:bodyDiv w:val="1"/>
      <w:marLeft w:val="0"/>
      <w:marRight w:val="0"/>
      <w:marTop w:val="0"/>
      <w:marBottom w:val="0"/>
      <w:divBdr>
        <w:top w:val="none" w:sz="0" w:space="0" w:color="auto"/>
        <w:left w:val="none" w:sz="0" w:space="0" w:color="auto"/>
        <w:bottom w:val="none" w:sz="0" w:space="0" w:color="auto"/>
        <w:right w:val="none" w:sz="0" w:space="0" w:color="auto"/>
      </w:divBdr>
    </w:div>
    <w:div w:id="1577981321">
      <w:bodyDiv w:val="1"/>
      <w:marLeft w:val="0"/>
      <w:marRight w:val="0"/>
      <w:marTop w:val="0"/>
      <w:marBottom w:val="0"/>
      <w:divBdr>
        <w:top w:val="none" w:sz="0" w:space="0" w:color="auto"/>
        <w:left w:val="none" w:sz="0" w:space="0" w:color="auto"/>
        <w:bottom w:val="none" w:sz="0" w:space="0" w:color="auto"/>
        <w:right w:val="none" w:sz="0" w:space="0" w:color="auto"/>
      </w:divBdr>
    </w:div>
    <w:div w:id="1578982174">
      <w:bodyDiv w:val="1"/>
      <w:marLeft w:val="0"/>
      <w:marRight w:val="0"/>
      <w:marTop w:val="0"/>
      <w:marBottom w:val="0"/>
      <w:divBdr>
        <w:top w:val="none" w:sz="0" w:space="0" w:color="auto"/>
        <w:left w:val="none" w:sz="0" w:space="0" w:color="auto"/>
        <w:bottom w:val="none" w:sz="0" w:space="0" w:color="auto"/>
        <w:right w:val="none" w:sz="0" w:space="0" w:color="auto"/>
      </w:divBdr>
    </w:div>
    <w:div w:id="1583290909">
      <w:bodyDiv w:val="1"/>
      <w:marLeft w:val="0"/>
      <w:marRight w:val="0"/>
      <w:marTop w:val="0"/>
      <w:marBottom w:val="0"/>
      <w:divBdr>
        <w:top w:val="none" w:sz="0" w:space="0" w:color="auto"/>
        <w:left w:val="none" w:sz="0" w:space="0" w:color="auto"/>
        <w:bottom w:val="none" w:sz="0" w:space="0" w:color="auto"/>
        <w:right w:val="none" w:sz="0" w:space="0" w:color="auto"/>
      </w:divBdr>
    </w:div>
    <w:div w:id="1585996672">
      <w:bodyDiv w:val="1"/>
      <w:marLeft w:val="0"/>
      <w:marRight w:val="0"/>
      <w:marTop w:val="0"/>
      <w:marBottom w:val="0"/>
      <w:divBdr>
        <w:top w:val="none" w:sz="0" w:space="0" w:color="auto"/>
        <w:left w:val="none" w:sz="0" w:space="0" w:color="auto"/>
        <w:bottom w:val="none" w:sz="0" w:space="0" w:color="auto"/>
        <w:right w:val="none" w:sz="0" w:space="0" w:color="auto"/>
      </w:divBdr>
    </w:div>
    <w:div w:id="1586960834">
      <w:bodyDiv w:val="1"/>
      <w:marLeft w:val="0"/>
      <w:marRight w:val="0"/>
      <w:marTop w:val="0"/>
      <w:marBottom w:val="0"/>
      <w:divBdr>
        <w:top w:val="none" w:sz="0" w:space="0" w:color="auto"/>
        <w:left w:val="none" w:sz="0" w:space="0" w:color="auto"/>
        <w:bottom w:val="none" w:sz="0" w:space="0" w:color="auto"/>
        <w:right w:val="none" w:sz="0" w:space="0" w:color="auto"/>
      </w:divBdr>
    </w:div>
    <w:div w:id="1600747238">
      <w:bodyDiv w:val="1"/>
      <w:marLeft w:val="0"/>
      <w:marRight w:val="0"/>
      <w:marTop w:val="0"/>
      <w:marBottom w:val="0"/>
      <w:divBdr>
        <w:top w:val="none" w:sz="0" w:space="0" w:color="auto"/>
        <w:left w:val="none" w:sz="0" w:space="0" w:color="auto"/>
        <w:bottom w:val="none" w:sz="0" w:space="0" w:color="auto"/>
        <w:right w:val="none" w:sz="0" w:space="0" w:color="auto"/>
      </w:divBdr>
    </w:div>
    <w:div w:id="1603148151">
      <w:bodyDiv w:val="1"/>
      <w:marLeft w:val="0"/>
      <w:marRight w:val="0"/>
      <w:marTop w:val="0"/>
      <w:marBottom w:val="0"/>
      <w:divBdr>
        <w:top w:val="none" w:sz="0" w:space="0" w:color="auto"/>
        <w:left w:val="none" w:sz="0" w:space="0" w:color="auto"/>
        <w:bottom w:val="none" w:sz="0" w:space="0" w:color="auto"/>
        <w:right w:val="none" w:sz="0" w:space="0" w:color="auto"/>
      </w:divBdr>
      <w:divsChild>
        <w:div w:id="699820248">
          <w:marLeft w:val="480"/>
          <w:marRight w:val="0"/>
          <w:marTop w:val="0"/>
          <w:marBottom w:val="0"/>
          <w:divBdr>
            <w:top w:val="none" w:sz="0" w:space="0" w:color="auto"/>
            <w:left w:val="none" w:sz="0" w:space="0" w:color="auto"/>
            <w:bottom w:val="none" w:sz="0" w:space="0" w:color="auto"/>
            <w:right w:val="none" w:sz="0" w:space="0" w:color="auto"/>
          </w:divBdr>
          <w:divsChild>
            <w:div w:id="6983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142">
      <w:bodyDiv w:val="1"/>
      <w:marLeft w:val="0"/>
      <w:marRight w:val="0"/>
      <w:marTop w:val="0"/>
      <w:marBottom w:val="0"/>
      <w:divBdr>
        <w:top w:val="none" w:sz="0" w:space="0" w:color="auto"/>
        <w:left w:val="none" w:sz="0" w:space="0" w:color="auto"/>
        <w:bottom w:val="none" w:sz="0" w:space="0" w:color="auto"/>
        <w:right w:val="none" w:sz="0" w:space="0" w:color="auto"/>
      </w:divBdr>
    </w:div>
    <w:div w:id="1609044358">
      <w:bodyDiv w:val="1"/>
      <w:marLeft w:val="0"/>
      <w:marRight w:val="0"/>
      <w:marTop w:val="0"/>
      <w:marBottom w:val="0"/>
      <w:divBdr>
        <w:top w:val="none" w:sz="0" w:space="0" w:color="auto"/>
        <w:left w:val="none" w:sz="0" w:space="0" w:color="auto"/>
        <w:bottom w:val="none" w:sz="0" w:space="0" w:color="auto"/>
        <w:right w:val="none" w:sz="0" w:space="0" w:color="auto"/>
      </w:divBdr>
    </w:div>
    <w:div w:id="1611011811">
      <w:bodyDiv w:val="1"/>
      <w:marLeft w:val="0"/>
      <w:marRight w:val="0"/>
      <w:marTop w:val="0"/>
      <w:marBottom w:val="0"/>
      <w:divBdr>
        <w:top w:val="none" w:sz="0" w:space="0" w:color="auto"/>
        <w:left w:val="none" w:sz="0" w:space="0" w:color="auto"/>
        <w:bottom w:val="none" w:sz="0" w:space="0" w:color="auto"/>
        <w:right w:val="none" w:sz="0" w:space="0" w:color="auto"/>
      </w:divBdr>
      <w:divsChild>
        <w:div w:id="1582523608">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sChild>
    </w:div>
    <w:div w:id="1631472963">
      <w:bodyDiv w:val="1"/>
      <w:marLeft w:val="0"/>
      <w:marRight w:val="0"/>
      <w:marTop w:val="0"/>
      <w:marBottom w:val="0"/>
      <w:divBdr>
        <w:top w:val="none" w:sz="0" w:space="0" w:color="auto"/>
        <w:left w:val="none" w:sz="0" w:space="0" w:color="auto"/>
        <w:bottom w:val="none" w:sz="0" w:space="0" w:color="auto"/>
        <w:right w:val="none" w:sz="0" w:space="0" w:color="auto"/>
      </w:divBdr>
    </w:div>
    <w:div w:id="1631670266">
      <w:bodyDiv w:val="1"/>
      <w:marLeft w:val="0"/>
      <w:marRight w:val="0"/>
      <w:marTop w:val="0"/>
      <w:marBottom w:val="0"/>
      <w:divBdr>
        <w:top w:val="none" w:sz="0" w:space="0" w:color="auto"/>
        <w:left w:val="none" w:sz="0" w:space="0" w:color="auto"/>
        <w:bottom w:val="none" w:sz="0" w:space="0" w:color="auto"/>
        <w:right w:val="none" w:sz="0" w:space="0" w:color="auto"/>
      </w:divBdr>
    </w:div>
    <w:div w:id="1635402619">
      <w:bodyDiv w:val="1"/>
      <w:marLeft w:val="0"/>
      <w:marRight w:val="0"/>
      <w:marTop w:val="0"/>
      <w:marBottom w:val="0"/>
      <w:divBdr>
        <w:top w:val="none" w:sz="0" w:space="0" w:color="auto"/>
        <w:left w:val="none" w:sz="0" w:space="0" w:color="auto"/>
        <w:bottom w:val="none" w:sz="0" w:space="0" w:color="auto"/>
        <w:right w:val="none" w:sz="0" w:space="0" w:color="auto"/>
      </w:divBdr>
    </w:div>
    <w:div w:id="1637027087">
      <w:bodyDiv w:val="1"/>
      <w:marLeft w:val="0"/>
      <w:marRight w:val="0"/>
      <w:marTop w:val="0"/>
      <w:marBottom w:val="0"/>
      <w:divBdr>
        <w:top w:val="none" w:sz="0" w:space="0" w:color="auto"/>
        <w:left w:val="none" w:sz="0" w:space="0" w:color="auto"/>
        <w:bottom w:val="none" w:sz="0" w:space="0" w:color="auto"/>
        <w:right w:val="none" w:sz="0" w:space="0" w:color="auto"/>
      </w:divBdr>
    </w:div>
    <w:div w:id="1641376637">
      <w:bodyDiv w:val="1"/>
      <w:marLeft w:val="0"/>
      <w:marRight w:val="0"/>
      <w:marTop w:val="0"/>
      <w:marBottom w:val="0"/>
      <w:divBdr>
        <w:top w:val="none" w:sz="0" w:space="0" w:color="auto"/>
        <w:left w:val="none" w:sz="0" w:space="0" w:color="auto"/>
        <w:bottom w:val="none" w:sz="0" w:space="0" w:color="auto"/>
        <w:right w:val="none" w:sz="0" w:space="0" w:color="auto"/>
      </w:divBdr>
    </w:div>
    <w:div w:id="1642418463">
      <w:bodyDiv w:val="1"/>
      <w:marLeft w:val="0"/>
      <w:marRight w:val="0"/>
      <w:marTop w:val="0"/>
      <w:marBottom w:val="0"/>
      <w:divBdr>
        <w:top w:val="none" w:sz="0" w:space="0" w:color="auto"/>
        <w:left w:val="none" w:sz="0" w:space="0" w:color="auto"/>
        <w:bottom w:val="none" w:sz="0" w:space="0" w:color="auto"/>
        <w:right w:val="none" w:sz="0" w:space="0" w:color="auto"/>
      </w:divBdr>
      <w:divsChild>
        <w:div w:id="132022012">
          <w:marLeft w:val="0"/>
          <w:marRight w:val="0"/>
          <w:marTop w:val="120"/>
          <w:marBottom w:val="0"/>
          <w:divBdr>
            <w:top w:val="none" w:sz="0" w:space="0" w:color="auto"/>
            <w:left w:val="none" w:sz="0" w:space="0" w:color="auto"/>
            <w:bottom w:val="none" w:sz="0" w:space="0" w:color="auto"/>
            <w:right w:val="none" w:sz="0" w:space="0" w:color="auto"/>
          </w:divBdr>
          <w:divsChild>
            <w:div w:id="977147989">
              <w:marLeft w:val="0"/>
              <w:marRight w:val="0"/>
              <w:marTop w:val="0"/>
              <w:marBottom w:val="0"/>
              <w:divBdr>
                <w:top w:val="none" w:sz="0" w:space="0" w:color="auto"/>
                <w:left w:val="none" w:sz="0" w:space="0" w:color="auto"/>
                <w:bottom w:val="none" w:sz="0" w:space="0" w:color="auto"/>
                <w:right w:val="none" w:sz="0" w:space="0" w:color="auto"/>
              </w:divBdr>
            </w:div>
          </w:divsChild>
        </w:div>
        <w:div w:id="318190431">
          <w:marLeft w:val="0"/>
          <w:marRight w:val="0"/>
          <w:marTop w:val="120"/>
          <w:marBottom w:val="0"/>
          <w:divBdr>
            <w:top w:val="none" w:sz="0" w:space="0" w:color="auto"/>
            <w:left w:val="none" w:sz="0" w:space="0" w:color="auto"/>
            <w:bottom w:val="none" w:sz="0" w:space="0" w:color="auto"/>
            <w:right w:val="none" w:sz="0" w:space="0" w:color="auto"/>
          </w:divBdr>
          <w:divsChild>
            <w:div w:id="9547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16063">
      <w:bodyDiv w:val="1"/>
      <w:marLeft w:val="0"/>
      <w:marRight w:val="0"/>
      <w:marTop w:val="0"/>
      <w:marBottom w:val="0"/>
      <w:divBdr>
        <w:top w:val="none" w:sz="0" w:space="0" w:color="auto"/>
        <w:left w:val="none" w:sz="0" w:space="0" w:color="auto"/>
        <w:bottom w:val="none" w:sz="0" w:space="0" w:color="auto"/>
        <w:right w:val="none" w:sz="0" w:space="0" w:color="auto"/>
      </w:divBdr>
      <w:divsChild>
        <w:div w:id="1043863903">
          <w:marLeft w:val="480"/>
          <w:marRight w:val="0"/>
          <w:marTop w:val="0"/>
          <w:marBottom w:val="0"/>
          <w:divBdr>
            <w:top w:val="none" w:sz="0" w:space="0" w:color="auto"/>
            <w:left w:val="none" w:sz="0" w:space="0" w:color="auto"/>
            <w:bottom w:val="none" w:sz="0" w:space="0" w:color="auto"/>
            <w:right w:val="none" w:sz="0" w:space="0" w:color="auto"/>
          </w:divBdr>
          <w:divsChild>
            <w:div w:id="2013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3762">
      <w:bodyDiv w:val="1"/>
      <w:marLeft w:val="0"/>
      <w:marRight w:val="0"/>
      <w:marTop w:val="0"/>
      <w:marBottom w:val="0"/>
      <w:divBdr>
        <w:top w:val="none" w:sz="0" w:space="0" w:color="auto"/>
        <w:left w:val="none" w:sz="0" w:space="0" w:color="auto"/>
        <w:bottom w:val="none" w:sz="0" w:space="0" w:color="auto"/>
        <w:right w:val="none" w:sz="0" w:space="0" w:color="auto"/>
      </w:divBdr>
    </w:div>
    <w:div w:id="1656836601">
      <w:bodyDiv w:val="1"/>
      <w:marLeft w:val="0"/>
      <w:marRight w:val="0"/>
      <w:marTop w:val="0"/>
      <w:marBottom w:val="0"/>
      <w:divBdr>
        <w:top w:val="none" w:sz="0" w:space="0" w:color="auto"/>
        <w:left w:val="none" w:sz="0" w:space="0" w:color="auto"/>
        <w:bottom w:val="none" w:sz="0" w:space="0" w:color="auto"/>
        <w:right w:val="none" w:sz="0" w:space="0" w:color="auto"/>
      </w:divBdr>
    </w:div>
    <w:div w:id="1662081979">
      <w:bodyDiv w:val="1"/>
      <w:marLeft w:val="0"/>
      <w:marRight w:val="0"/>
      <w:marTop w:val="0"/>
      <w:marBottom w:val="0"/>
      <w:divBdr>
        <w:top w:val="none" w:sz="0" w:space="0" w:color="auto"/>
        <w:left w:val="none" w:sz="0" w:space="0" w:color="auto"/>
        <w:bottom w:val="none" w:sz="0" w:space="0" w:color="auto"/>
        <w:right w:val="none" w:sz="0" w:space="0" w:color="auto"/>
      </w:divBdr>
    </w:div>
    <w:div w:id="1664770942">
      <w:bodyDiv w:val="1"/>
      <w:marLeft w:val="0"/>
      <w:marRight w:val="0"/>
      <w:marTop w:val="0"/>
      <w:marBottom w:val="0"/>
      <w:divBdr>
        <w:top w:val="none" w:sz="0" w:space="0" w:color="auto"/>
        <w:left w:val="none" w:sz="0" w:space="0" w:color="auto"/>
        <w:bottom w:val="none" w:sz="0" w:space="0" w:color="auto"/>
        <w:right w:val="none" w:sz="0" w:space="0" w:color="auto"/>
      </w:divBdr>
      <w:divsChild>
        <w:div w:id="1368332499">
          <w:marLeft w:val="0"/>
          <w:marRight w:val="0"/>
          <w:marTop w:val="15"/>
          <w:marBottom w:val="0"/>
          <w:divBdr>
            <w:top w:val="single" w:sz="48" w:space="0" w:color="auto"/>
            <w:left w:val="single" w:sz="48" w:space="0" w:color="auto"/>
            <w:bottom w:val="single" w:sz="48" w:space="0" w:color="auto"/>
            <w:right w:val="single" w:sz="48" w:space="0" w:color="auto"/>
          </w:divBdr>
          <w:divsChild>
            <w:div w:id="68164225">
              <w:marLeft w:val="0"/>
              <w:marRight w:val="0"/>
              <w:marTop w:val="0"/>
              <w:marBottom w:val="0"/>
              <w:divBdr>
                <w:top w:val="none" w:sz="0" w:space="0" w:color="auto"/>
                <w:left w:val="none" w:sz="0" w:space="0" w:color="auto"/>
                <w:bottom w:val="none" w:sz="0" w:space="0" w:color="auto"/>
                <w:right w:val="none" w:sz="0" w:space="0" w:color="auto"/>
              </w:divBdr>
            </w:div>
          </w:divsChild>
        </w:div>
        <w:div w:id="614992282">
          <w:marLeft w:val="0"/>
          <w:marRight w:val="0"/>
          <w:marTop w:val="15"/>
          <w:marBottom w:val="0"/>
          <w:divBdr>
            <w:top w:val="single" w:sz="48" w:space="0" w:color="auto"/>
            <w:left w:val="single" w:sz="48" w:space="0" w:color="auto"/>
            <w:bottom w:val="single" w:sz="48" w:space="0" w:color="auto"/>
            <w:right w:val="single" w:sz="48" w:space="0" w:color="auto"/>
          </w:divBdr>
          <w:divsChild>
            <w:div w:id="16910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5228">
      <w:bodyDiv w:val="1"/>
      <w:marLeft w:val="0"/>
      <w:marRight w:val="0"/>
      <w:marTop w:val="0"/>
      <w:marBottom w:val="0"/>
      <w:divBdr>
        <w:top w:val="none" w:sz="0" w:space="0" w:color="auto"/>
        <w:left w:val="none" w:sz="0" w:space="0" w:color="auto"/>
        <w:bottom w:val="none" w:sz="0" w:space="0" w:color="auto"/>
        <w:right w:val="none" w:sz="0" w:space="0" w:color="auto"/>
      </w:divBdr>
    </w:div>
    <w:div w:id="1666277745">
      <w:bodyDiv w:val="1"/>
      <w:marLeft w:val="0"/>
      <w:marRight w:val="0"/>
      <w:marTop w:val="0"/>
      <w:marBottom w:val="0"/>
      <w:divBdr>
        <w:top w:val="none" w:sz="0" w:space="0" w:color="auto"/>
        <w:left w:val="none" w:sz="0" w:space="0" w:color="auto"/>
        <w:bottom w:val="none" w:sz="0" w:space="0" w:color="auto"/>
        <w:right w:val="none" w:sz="0" w:space="0" w:color="auto"/>
      </w:divBdr>
    </w:div>
    <w:div w:id="1666670148">
      <w:bodyDiv w:val="1"/>
      <w:marLeft w:val="0"/>
      <w:marRight w:val="0"/>
      <w:marTop w:val="0"/>
      <w:marBottom w:val="0"/>
      <w:divBdr>
        <w:top w:val="none" w:sz="0" w:space="0" w:color="auto"/>
        <w:left w:val="none" w:sz="0" w:space="0" w:color="auto"/>
        <w:bottom w:val="none" w:sz="0" w:space="0" w:color="auto"/>
        <w:right w:val="none" w:sz="0" w:space="0" w:color="auto"/>
      </w:divBdr>
    </w:div>
    <w:div w:id="1675181015">
      <w:bodyDiv w:val="1"/>
      <w:marLeft w:val="0"/>
      <w:marRight w:val="0"/>
      <w:marTop w:val="0"/>
      <w:marBottom w:val="0"/>
      <w:divBdr>
        <w:top w:val="none" w:sz="0" w:space="0" w:color="auto"/>
        <w:left w:val="none" w:sz="0" w:space="0" w:color="auto"/>
        <w:bottom w:val="none" w:sz="0" w:space="0" w:color="auto"/>
        <w:right w:val="none" w:sz="0" w:space="0" w:color="auto"/>
      </w:divBdr>
    </w:div>
    <w:div w:id="1691712658">
      <w:bodyDiv w:val="1"/>
      <w:marLeft w:val="0"/>
      <w:marRight w:val="0"/>
      <w:marTop w:val="0"/>
      <w:marBottom w:val="0"/>
      <w:divBdr>
        <w:top w:val="none" w:sz="0" w:space="0" w:color="auto"/>
        <w:left w:val="none" w:sz="0" w:space="0" w:color="auto"/>
        <w:bottom w:val="none" w:sz="0" w:space="0" w:color="auto"/>
        <w:right w:val="none" w:sz="0" w:space="0" w:color="auto"/>
      </w:divBdr>
    </w:div>
    <w:div w:id="1693216826">
      <w:bodyDiv w:val="1"/>
      <w:marLeft w:val="0"/>
      <w:marRight w:val="0"/>
      <w:marTop w:val="0"/>
      <w:marBottom w:val="0"/>
      <w:divBdr>
        <w:top w:val="none" w:sz="0" w:space="0" w:color="auto"/>
        <w:left w:val="none" w:sz="0" w:space="0" w:color="auto"/>
        <w:bottom w:val="none" w:sz="0" w:space="0" w:color="auto"/>
        <w:right w:val="none" w:sz="0" w:space="0" w:color="auto"/>
      </w:divBdr>
    </w:div>
    <w:div w:id="1699116240">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24864440">
      <w:bodyDiv w:val="1"/>
      <w:marLeft w:val="0"/>
      <w:marRight w:val="0"/>
      <w:marTop w:val="0"/>
      <w:marBottom w:val="0"/>
      <w:divBdr>
        <w:top w:val="none" w:sz="0" w:space="0" w:color="auto"/>
        <w:left w:val="none" w:sz="0" w:space="0" w:color="auto"/>
        <w:bottom w:val="none" w:sz="0" w:space="0" w:color="auto"/>
        <w:right w:val="none" w:sz="0" w:space="0" w:color="auto"/>
      </w:divBdr>
    </w:div>
    <w:div w:id="1725324811">
      <w:bodyDiv w:val="1"/>
      <w:marLeft w:val="0"/>
      <w:marRight w:val="0"/>
      <w:marTop w:val="0"/>
      <w:marBottom w:val="0"/>
      <w:divBdr>
        <w:top w:val="none" w:sz="0" w:space="0" w:color="auto"/>
        <w:left w:val="none" w:sz="0" w:space="0" w:color="auto"/>
        <w:bottom w:val="none" w:sz="0" w:space="0" w:color="auto"/>
        <w:right w:val="none" w:sz="0" w:space="0" w:color="auto"/>
      </w:divBdr>
    </w:div>
    <w:div w:id="1735229389">
      <w:bodyDiv w:val="1"/>
      <w:marLeft w:val="0"/>
      <w:marRight w:val="0"/>
      <w:marTop w:val="0"/>
      <w:marBottom w:val="0"/>
      <w:divBdr>
        <w:top w:val="none" w:sz="0" w:space="0" w:color="auto"/>
        <w:left w:val="none" w:sz="0" w:space="0" w:color="auto"/>
        <w:bottom w:val="none" w:sz="0" w:space="0" w:color="auto"/>
        <w:right w:val="none" w:sz="0" w:space="0" w:color="auto"/>
      </w:divBdr>
    </w:div>
    <w:div w:id="1736050608">
      <w:bodyDiv w:val="1"/>
      <w:marLeft w:val="0"/>
      <w:marRight w:val="0"/>
      <w:marTop w:val="0"/>
      <w:marBottom w:val="0"/>
      <w:divBdr>
        <w:top w:val="none" w:sz="0" w:space="0" w:color="auto"/>
        <w:left w:val="none" w:sz="0" w:space="0" w:color="auto"/>
        <w:bottom w:val="none" w:sz="0" w:space="0" w:color="auto"/>
        <w:right w:val="none" w:sz="0" w:space="0" w:color="auto"/>
      </w:divBdr>
    </w:div>
    <w:div w:id="1742406044">
      <w:bodyDiv w:val="1"/>
      <w:marLeft w:val="0"/>
      <w:marRight w:val="0"/>
      <w:marTop w:val="0"/>
      <w:marBottom w:val="0"/>
      <w:divBdr>
        <w:top w:val="none" w:sz="0" w:space="0" w:color="auto"/>
        <w:left w:val="none" w:sz="0" w:space="0" w:color="auto"/>
        <w:bottom w:val="none" w:sz="0" w:space="0" w:color="auto"/>
        <w:right w:val="none" w:sz="0" w:space="0" w:color="auto"/>
      </w:divBdr>
    </w:div>
    <w:div w:id="1744109844">
      <w:bodyDiv w:val="1"/>
      <w:marLeft w:val="0"/>
      <w:marRight w:val="0"/>
      <w:marTop w:val="0"/>
      <w:marBottom w:val="0"/>
      <w:divBdr>
        <w:top w:val="none" w:sz="0" w:space="0" w:color="auto"/>
        <w:left w:val="none" w:sz="0" w:space="0" w:color="auto"/>
        <w:bottom w:val="none" w:sz="0" w:space="0" w:color="auto"/>
        <w:right w:val="none" w:sz="0" w:space="0" w:color="auto"/>
      </w:divBdr>
      <w:divsChild>
        <w:div w:id="980616078">
          <w:marLeft w:val="0"/>
          <w:marRight w:val="0"/>
          <w:marTop w:val="0"/>
          <w:marBottom w:val="0"/>
          <w:divBdr>
            <w:top w:val="none" w:sz="0" w:space="0" w:color="auto"/>
            <w:left w:val="none" w:sz="0" w:space="0" w:color="auto"/>
            <w:bottom w:val="none" w:sz="0" w:space="0" w:color="auto"/>
            <w:right w:val="none" w:sz="0" w:space="0" w:color="auto"/>
          </w:divBdr>
          <w:divsChild>
            <w:div w:id="2104061385">
              <w:marLeft w:val="0"/>
              <w:marRight w:val="240"/>
              <w:marTop w:val="225"/>
              <w:marBottom w:val="0"/>
              <w:divBdr>
                <w:top w:val="none" w:sz="0" w:space="0" w:color="auto"/>
                <w:left w:val="none" w:sz="0" w:space="0" w:color="auto"/>
                <w:bottom w:val="none" w:sz="0" w:space="0" w:color="auto"/>
                <w:right w:val="none" w:sz="0" w:space="0" w:color="auto"/>
              </w:divBdr>
              <w:divsChild>
                <w:div w:id="1533877847">
                  <w:marLeft w:val="0"/>
                  <w:marRight w:val="150"/>
                  <w:marTop w:val="0"/>
                  <w:marBottom w:val="0"/>
                  <w:divBdr>
                    <w:top w:val="none" w:sz="0" w:space="0" w:color="auto"/>
                    <w:left w:val="none" w:sz="0" w:space="0" w:color="auto"/>
                    <w:bottom w:val="none" w:sz="0" w:space="0" w:color="auto"/>
                    <w:right w:val="none" w:sz="0" w:space="0" w:color="auto"/>
                  </w:divBdr>
                </w:div>
              </w:divsChild>
            </w:div>
            <w:div w:id="18195684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44252862">
      <w:bodyDiv w:val="1"/>
      <w:marLeft w:val="0"/>
      <w:marRight w:val="0"/>
      <w:marTop w:val="0"/>
      <w:marBottom w:val="0"/>
      <w:divBdr>
        <w:top w:val="none" w:sz="0" w:space="0" w:color="auto"/>
        <w:left w:val="none" w:sz="0" w:space="0" w:color="auto"/>
        <w:bottom w:val="none" w:sz="0" w:space="0" w:color="auto"/>
        <w:right w:val="none" w:sz="0" w:space="0" w:color="auto"/>
      </w:divBdr>
    </w:div>
    <w:div w:id="1751854100">
      <w:bodyDiv w:val="1"/>
      <w:marLeft w:val="0"/>
      <w:marRight w:val="0"/>
      <w:marTop w:val="0"/>
      <w:marBottom w:val="0"/>
      <w:divBdr>
        <w:top w:val="none" w:sz="0" w:space="0" w:color="auto"/>
        <w:left w:val="none" w:sz="0" w:space="0" w:color="auto"/>
        <w:bottom w:val="none" w:sz="0" w:space="0" w:color="auto"/>
        <w:right w:val="none" w:sz="0" w:space="0" w:color="auto"/>
      </w:divBdr>
    </w:div>
    <w:div w:id="1752653290">
      <w:bodyDiv w:val="1"/>
      <w:marLeft w:val="0"/>
      <w:marRight w:val="0"/>
      <w:marTop w:val="0"/>
      <w:marBottom w:val="0"/>
      <w:divBdr>
        <w:top w:val="none" w:sz="0" w:space="0" w:color="auto"/>
        <w:left w:val="none" w:sz="0" w:space="0" w:color="auto"/>
        <w:bottom w:val="none" w:sz="0" w:space="0" w:color="auto"/>
        <w:right w:val="none" w:sz="0" w:space="0" w:color="auto"/>
      </w:divBdr>
    </w:div>
    <w:div w:id="1754277698">
      <w:bodyDiv w:val="1"/>
      <w:marLeft w:val="0"/>
      <w:marRight w:val="0"/>
      <w:marTop w:val="0"/>
      <w:marBottom w:val="0"/>
      <w:divBdr>
        <w:top w:val="none" w:sz="0" w:space="0" w:color="auto"/>
        <w:left w:val="none" w:sz="0" w:space="0" w:color="auto"/>
        <w:bottom w:val="none" w:sz="0" w:space="0" w:color="auto"/>
        <w:right w:val="none" w:sz="0" w:space="0" w:color="auto"/>
      </w:divBdr>
    </w:div>
    <w:div w:id="1757097033">
      <w:bodyDiv w:val="1"/>
      <w:marLeft w:val="0"/>
      <w:marRight w:val="0"/>
      <w:marTop w:val="0"/>
      <w:marBottom w:val="0"/>
      <w:divBdr>
        <w:top w:val="none" w:sz="0" w:space="0" w:color="auto"/>
        <w:left w:val="none" w:sz="0" w:space="0" w:color="auto"/>
        <w:bottom w:val="none" w:sz="0" w:space="0" w:color="auto"/>
        <w:right w:val="none" w:sz="0" w:space="0" w:color="auto"/>
      </w:divBdr>
      <w:divsChild>
        <w:div w:id="284698189">
          <w:marLeft w:val="480"/>
          <w:marRight w:val="0"/>
          <w:marTop w:val="0"/>
          <w:marBottom w:val="0"/>
          <w:divBdr>
            <w:top w:val="none" w:sz="0" w:space="0" w:color="auto"/>
            <w:left w:val="none" w:sz="0" w:space="0" w:color="auto"/>
            <w:bottom w:val="none" w:sz="0" w:space="0" w:color="auto"/>
            <w:right w:val="none" w:sz="0" w:space="0" w:color="auto"/>
          </w:divBdr>
          <w:divsChild>
            <w:div w:id="15524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58722">
      <w:bodyDiv w:val="1"/>
      <w:marLeft w:val="0"/>
      <w:marRight w:val="0"/>
      <w:marTop w:val="0"/>
      <w:marBottom w:val="0"/>
      <w:divBdr>
        <w:top w:val="none" w:sz="0" w:space="0" w:color="auto"/>
        <w:left w:val="none" w:sz="0" w:space="0" w:color="auto"/>
        <w:bottom w:val="none" w:sz="0" w:space="0" w:color="auto"/>
        <w:right w:val="none" w:sz="0" w:space="0" w:color="auto"/>
      </w:divBdr>
    </w:div>
    <w:div w:id="1761680333">
      <w:bodyDiv w:val="1"/>
      <w:marLeft w:val="0"/>
      <w:marRight w:val="0"/>
      <w:marTop w:val="0"/>
      <w:marBottom w:val="0"/>
      <w:divBdr>
        <w:top w:val="none" w:sz="0" w:space="0" w:color="auto"/>
        <w:left w:val="none" w:sz="0" w:space="0" w:color="auto"/>
        <w:bottom w:val="none" w:sz="0" w:space="0" w:color="auto"/>
        <w:right w:val="none" w:sz="0" w:space="0" w:color="auto"/>
      </w:divBdr>
      <w:divsChild>
        <w:div w:id="2062747345">
          <w:marLeft w:val="0"/>
          <w:marRight w:val="0"/>
          <w:marTop w:val="0"/>
          <w:marBottom w:val="0"/>
          <w:divBdr>
            <w:top w:val="none" w:sz="0" w:space="0" w:color="auto"/>
            <w:left w:val="none" w:sz="0" w:space="0" w:color="auto"/>
            <w:bottom w:val="none" w:sz="0" w:space="0" w:color="auto"/>
            <w:right w:val="none" w:sz="0" w:space="0" w:color="auto"/>
          </w:divBdr>
        </w:div>
        <w:div w:id="1222209830">
          <w:marLeft w:val="0"/>
          <w:marRight w:val="0"/>
          <w:marTop w:val="375"/>
          <w:marBottom w:val="0"/>
          <w:divBdr>
            <w:top w:val="none" w:sz="0" w:space="0" w:color="auto"/>
            <w:left w:val="none" w:sz="0" w:space="0" w:color="auto"/>
            <w:bottom w:val="none" w:sz="0" w:space="0" w:color="auto"/>
            <w:right w:val="none" w:sz="0" w:space="0" w:color="auto"/>
          </w:divBdr>
          <w:divsChild>
            <w:div w:id="2410658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73471949">
      <w:bodyDiv w:val="1"/>
      <w:marLeft w:val="0"/>
      <w:marRight w:val="0"/>
      <w:marTop w:val="0"/>
      <w:marBottom w:val="0"/>
      <w:divBdr>
        <w:top w:val="none" w:sz="0" w:space="0" w:color="auto"/>
        <w:left w:val="none" w:sz="0" w:space="0" w:color="auto"/>
        <w:bottom w:val="none" w:sz="0" w:space="0" w:color="auto"/>
        <w:right w:val="none" w:sz="0" w:space="0" w:color="auto"/>
      </w:divBdr>
    </w:div>
    <w:div w:id="1777481399">
      <w:bodyDiv w:val="1"/>
      <w:marLeft w:val="0"/>
      <w:marRight w:val="0"/>
      <w:marTop w:val="0"/>
      <w:marBottom w:val="0"/>
      <w:divBdr>
        <w:top w:val="none" w:sz="0" w:space="0" w:color="auto"/>
        <w:left w:val="none" w:sz="0" w:space="0" w:color="auto"/>
        <w:bottom w:val="none" w:sz="0" w:space="0" w:color="auto"/>
        <w:right w:val="none" w:sz="0" w:space="0" w:color="auto"/>
      </w:divBdr>
      <w:divsChild>
        <w:div w:id="675353193">
          <w:marLeft w:val="288"/>
          <w:marRight w:val="0"/>
          <w:marTop w:val="80"/>
          <w:marBottom w:val="0"/>
          <w:divBdr>
            <w:top w:val="none" w:sz="0" w:space="0" w:color="auto"/>
            <w:left w:val="none" w:sz="0" w:space="0" w:color="auto"/>
            <w:bottom w:val="none" w:sz="0" w:space="0" w:color="auto"/>
            <w:right w:val="none" w:sz="0" w:space="0" w:color="auto"/>
          </w:divBdr>
        </w:div>
        <w:div w:id="1724907985">
          <w:marLeft w:val="288"/>
          <w:marRight w:val="0"/>
          <w:marTop w:val="80"/>
          <w:marBottom w:val="0"/>
          <w:divBdr>
            <w:top w:val="none" w:sz="0" w:space="0" w:color="auto"/>
            <w:left w:val="none" w:sz="0" w:space="0" w:color="auto"/>
            <w:bottom w:val="none" w:sz="0" w:space="0" w:color="auto"/>
            <w:right w:val="none" w:sz="0" w:space="0" w:color="auto"/>
          </w:divBdr>
        </w:div>
        <w:div w:id="1022242402">
          <w:marLeft w:val="288"/>
          <w:marRight w:val="0"/>
          <w:marTop w:val="80"/>
          <w:marBottom w:val="0"/>
          <w:divBdr>
            <w:top w:val="none" w:sz="0" w:space="0" w:color="auto"/>
            <w:left w:val="none" w:sz="0" w:space="0" w:color="auto"/>
            <w:bottom w:val="none" w:sz="0" w:space="0" w:color="auto"/>
            <w:right w:val="none" w:sz="0" w:space="0" w:color="auto"/>
          </w:divBdr>
        </w:div>
        <w:div w:id="1989748435">
          <w:marLeft w:val="288"/>
          <w:marRight w:val="0"/>
          <w:marTop w:val="80"/>
          <w:marBottom w:val="0"/>
          <w:divBdr>
            <w:top w:val="none" w:sz="0" w:space="0" w:color="auto"/>
            <w:left w:val="none" w:sz="0" w:space="0" w:color="auto"/>
            <w:bottom w:val="none" w:sz="0" w:space="0" w:color="auto"/>
            <w:right w:val="none" w:sz="0" w:space="0" w:color="auto"/>
          </w:divBdr>
        </w:div>
        <w:div w:id="1476992331">
          <w:marLeft w:val="288"/>
          <w:marRight w:val="0"/>
          <w:marTop w:val="80"/>
          <w:marBottom w:val="0"/>
          <w:divBdr>
            <w:top w:val="none" w:sz="0" w:space="0" w:color="auto"/>
            <w:left w:val="none" w:sz="0" w:space="0" w:color="auto"/>
            <w:bottom w:val="none" w:sz="0" w:space="0" w:color="auto"/>
            <w:right w:val="none" w:sz="0" w:space="0" w:color="auto"/>
          </w:divBdr>
        </w:div>
        <w:div w:id="1823112931">
          <w:marLeft w:val="288"/>
          <w:marRight w:val="0"/>
          <w:marTop w:val="80"/>
          <w:marBottom w:val="0"/>
          <w:divBdr>
            <w:top w:val="none" w:sz="0" w:space="0" w:color="auto"/>
            <w:left w:val="none" w:sz="0" w:space="0" w:color="auto"/>
            <w:bottom w:val="none" w:sz="0" w:space="0" w:color="auto"/>
            <w:right w:val="none" w:sz="0" w:space="0" w:color="auto"/>
          </w:divBdr>
        </w:div>
      </w:divsChild>
    </w:div>
    <w:div w:id="1780297545">
      <w:bodyDiv w:val="1"/>
      <w:marLeft w:val="0"/>
      <w:marRight w:val="0"/>
      <w:marTop w:val="0"/>
      <w:marBottom w:val="0"/>
      <w:divBdr>
        <w:top w:val="none" w:sz="0" w:space="0" w:color="auto"/>
        <w:left w:val="none" w:sz="0" w:space="0" w:color="auto"/>
        <w:bottom w:val="none" w:sz="0" w:space="0" w:color="auto"/>
        <w:right w:val="none" w:sz="0" w:space="0" w:color="auto"/>
      </w:divBdr>
    </w:div>
    <w:div w:id="1795902447">
      <w:bodyDiv w:val="1"/>
      <w:marLeft w:val="0"/>
      <w:marRight w:val="0"/>
      <w:marTop w:val="0"/>
      <w:marBottom w:val="0"/>
      <w:divBdr>
        <w:top w:val="none" w:sz="0" w:space="0" w:color="auto"/>
        <w:left w:val="none" w:sz="0" w:space="0" w:color="auto"/>
        <w:bottom w:val="none" w:sz="0" w:space="0" w:color="auto"/>
        <w:right w:val="none" w:sz="0" w:space="0" w:color="auto"/>
      </w:divBdr>
    </w:div>
    <w:div w:id="1804303901">
      <w:bodyDiv w:val="1"/>
      <w:marLeft w:val="0"/>
      <w:marRight w:val="0"/>
      <w:marTop w:val="0"/>
      <w:marBottom w:val="0"/>
      <w:divBdr>
        <w:top w:val="none" w:sz="0" w:space="0" w:color="auto"/>
        <w:left w:val="none" w:sz="0" w:space="0" w:color="auto"/>
        <w:bottom w:val="none" w:sz="0" w:space="0" w:color="auto"/>
        <w:right w:val="none" w:sz="0" w:space="0" w:color="auto"/>
      </w:divBdr>
    </w:div>
    <w:div w:id="1821925377">
      <w:bodyDiv w:val="1"/>
      <w:marLeft w:val="0"/>
      <w:marRight w:val="0"/>
      <w:marTop w:val="0"/>
      <w:marBottom w:val="0"/>
      <w:divBdr>
        <w:top w:val="none" w:sz="0" w:space="0" w:color="auto"/>
        <w:left w:val="none" w:sz="0" w:space="0" w:color="auto"/>
        <w:bottom w:val="none" w:sz="0" w:space="0" w:color="auto"/>
        <w:right w:val="none" w:sz="0" w:space="0" w:color="auto"/>
      </w:divBdr>
    </w:div>
    <w:div w:id="1823306141">
      <w:bodyDiv w:val="1"/>
      <w:marLeft w:val="0"/>
      <w:marRight w:val="0"/>
      <w:marTop w:val="0"/>
      <w:marBottom w:val="0"/>
      <w:divBdr>
        <w:top w:val="none" w:sz="0" w:space="0" w:color="auto"/>
        <w:left w:val="none" w:sz="0" w:space="0" w:color="auto"/>
        <w:bottom w:val="none" w:sz="0" w:space="0" w:color="auto"/>
        <w:right w:val="none" w:sz="0" w:space="0" w:color="auto"/>
      </w:divBdr>
      <w:divsChild>
        <w:div w:id="1377779586">
          <w:marLeft w:val="403"/>
          <w:marRight w:val="0"/>
          <w:marTop w:val="0"/>
          <w:marBottom w:val="0"/>
          <w:divBdr>
            <w:top w:val="none" w:sz="0" w:space="0" w:color="auto"/>
            <w:left w:val="none" w:sz="0" w:space="0" w:color="auto"/>
            <w:bottom w:val="none" w:sz="0" w:space="0" w:color="auto"/>
            <w:right w:val="none" w:sz="0" w:space="0" w:color="auto"/>
          </w:divBdr>
        </w:div>
        <w:div w:id="153761805">
          <w:marLeft w:val="403"/>
          <w:marRight w:val="0"/>
          <w:marTop w:val="0"/>
          <w:marBottom w:val="0"/>
          <w:divBdr>
            <w:top w:val="none" w:sz="0" w:space="0" w:color="auto"/>
            <w:left w:val="none" w:sz="0" w:space="0" w:color="auto"/>
            <w:bottom w:val="none" w:sz="0" w:space="0" w:color="auto"/>
            <w:right w:val="none" w:sz="0" w:space="0" w:color="auto"/>
          </w:divBdr>
        </w:div>
        <w:div w:id="1138960190">
          <w:marLeft w:val="403"/>
          <w:marRight w:val="0"/>
          <w:marTop w:val="0"/>
          <w:marBottom w:val="0"/>
          <w:divBdr>
            <w:top w:val="none" w:sz="0" w:space="0" w:color="auto"/>
            <w:left w:val="none" w:sz="0" w:space="0" w:color="auto"/>
            <w:bottom w:val="none" w:sz="0" w:space="0" w:color="auto"/>
            <w:right w:val="none" w:sz="0" w:space="0" w:color="auto"/>
          </w:divBdr>
        </w:div>
        <w:div w:id="1764061565">
          <w:marLeft w:val="403"/>
          <w:marRight w:val="0"/>
          <w:marTop w:val="0"/>
          <w:marBottom w:val="0"/>
          <w:divBdr>
            <w:top w:val="none" w:sz="0" w:space="0" w:color="auto"/>
            <w:left w:val="none" w:sz="0" w:space="0" w:color="auto"/>
            <w:bottom w:val="none" w:sz="0" w:space="0" w:color="auto"/>
            <w:right w:val="none" w:sz="0" w:space="0" w:color="auto"/>
          </w:divBdr>
        </w:div>
      </w:divsChild>
    </w:div>
    <w:div w:id="1829980742">
      <w:bodyDiv w:val="1"/>
      <w:marLeft w:val="0"/>
      <w:marRight w:val="0"/>
      <w:marTop w:val="0"/>
      <w:marBottom w:val="0"/>
      <w:divBdr>
        <w:top w:val="none" w:sz="0" w:space="0" w:color="auto"/>
        <w:left w:val="none" w:sz="0" w:space="0" w:color="auto"/>
        <w:bottom w:val="none" w:sz="0" w:space="0" w:color="auto"/>
        <w:right w:val="none" w:sz="0" w:space="0" w:color="auto"/>
      </w:divBdr>
      <w:divsChild>
        <w:div w:id="91826013">
          <w:marLeft w:val="1224"/>
          <w:marRight w:val="0"/>
          <w:marTop w:val="158"/>
          <w:marBottom w:val="120"/>
          <w:divBdr>
            <w:top w:val="none" w:sz="0" w:space="0" w:color="auto"/>
            <w:left w:val="none" w:sz="0" w:space="0" w:color="auto"/>
            <w:bottom w:val="none" w:sz="0" w:space="0" w:color="auto"/>
            <w:right w:val="none" w:sz="0" w:space="0" w:color="auto"/>
          </w:divBdr>
        </w:div>
        <w:div w:id="585188041">
          <w:marLeft w:val="1224"/>
          <w:marRight w:val="0"/>
          <w:marTop w:val="158"/>
          <w:marBottom w:val="120"/>
          <w:divBdr>
            <w:top w:val="none" w:sz="0" w:space="0" w:color="auto"/>
            <w:left w:val="none" w:sz="0" w:space="0" w:color="auto"/>
            <w:bottom w:val="none" w:sz="0" w:space="0" w:color="auto"/>
            <w:right w:val="none" w:sz="0" w:space="0" w:color="auto"/>
          </w:divBdr>
        </w:div>
        <w:div w:id="580262868">
          <w:marLeft w:val="1224"/>
          <w:marRight w:val="0"/>
          <w:marTop w:val="158"/>
          <w:marBottom w:val="120"/>
          <w:divBdr>
            <w:top w:val="none" w:sz="0" w:space="0" w:color="auto"/>
            <w:left w:val="none" w:sz="0" w:space="0" w:color="auto"/>
            <w:bottom w:val="none" w:sz="0" w:space="0" w:color="auto"/>
            <w:right w:val="none" w:sz="0" w:space="0" w:color="auto"/>
          </w:divBdr>
        </w:div>
        <w:div w:id="1172985729">
          <w:marLeft w:val="1224"/>
          <w:marRight w:val="0"/>
          <w:marTop w:val="158"/>
          <w:marBottom w:val="120"/>
          <w:divBdr>
            <w:top w:val="none" w:sz="0" w:space="0" w:color="auto"/>
            <w:left w:val="none" w:sz="0" w:space="0" w:color="auto"/>
            <w:bottom w:val="none" w:sz="0" w:space="0" w:color="auto"/>
            <w:right w:val="none" w:sz="0" w:space="0" w:color="auto"/>
          </w:divBdr>
        </w:div>
        <w:div w:id="1512062818">
          <w:marLeft w:val="1224"/>
          <w:marRight w:val="0"/>
          <w:marTop w:val="158"/>
          <w:marBottom w:val="120"/>
          <w:divBdr>
            <w:top w:val="none" w:sz="0" w:space="0" w:color="auto"/>
            <w:left w:val="none" w:sz="0" w:space="0" w:color="auto"/>
            <w:bottom w:val="none" w:sz="0" w:space="0" w:color="auto"/>
            <w:right w:val="none" w:sz="0" w:space="0" w:color="auto"/>
          </w:divBdr>
        </w:div>
        <w:div w:id="1526820991">
          <w:marLeft w:val="1224"/>
          <w:marRight w:val="0"/>
          <w:marTop w:val="158"/>
          <w:marBottom w:val="120"/>
          <w:divBdr>
            <w:top w:val="none" w:sz="0" w:space="0" w:color="auto"/>
            <w:left w:val="none" w:sz="0" w:space="0" w:color="auto"/>
            <w:bottom w:val="none" w:sz="0" w:space="0" w:color="auto"/>
            <w:right w:val="none" w:sz="0" w:space="0" w:color="auto"/>
          </w:divBdr>
        </w:div>
      </w:divsChild>
    </w:div>
    <w:div w:id="1833712732">
      <w:bodyDiv w:val="1"/>
      <w:marLeft w:val="0"/>
      <w:marRight w:val="0"/>
      <w:marTop w:val="0"/>
      <w:marBottom w:val="0"/>
      <w:divBdr>
        <w:top w:val="none" w:sz="0" w:space="0" w:color="auto"/>
        <w:left w:val="none" w:sz="0" w:space="0" w:color="auto"/>
        <w:bottom w:val="none" w:sz="0" w:space="0" w:color="auto"/>
        <w:right w:val="none" w:sz="0" w:space="0" w:color="auto"/>
      </w:divBdr>
    </w:div>
    <w:div w:id="1834224712">
      <w:bodyDiv w:val="1"/>
      <w:marLeft w:val="0"/>
      <w:marRight w:val="0"/>
      <w:marTop w:val="0"/>
      <w:marBottom w:val="0"/>
      <w:divBdr>
        <w:top w:val="none" w:sz="0" w:space="0" w:color="auto"/>
        <w:left w:val="none" w:sz="0" w:space="0" w:color="auto"/>
        <w:bottom w:val="none" w:sz="0" w:space="0" w:color="auto"/>
        <w:right w:val="none" w:sz="0" w:space="0" w:color="auto"/>
      </w:divBdr>
    </w:div>
    <w:div w:id="1836875194">
      <w:bodyDiv w:val="1"/>
      <w:marLeft w:val="0"/>
      <w:marRight w:val="0"/>
      <w:marTop w:val="0"/>
      <w:marBottom w:val="0"/>
      <w:divBdr>
        <w:top w:val="none" w:sz="0" w:space="0" w:color="auto"/>
        <w:left w:val="none" w:sz="0" w:space="0" w:color="auto"/>
        <w:bottom w:val="none" w:sz="0" w:space="0" w:color="auto"/>
        <w:right w:val="none" w:sz="0" w:space="0" w:color="auto"/>
      </w:divBdr>
    </w:div>
    <w:div w:id="1844272852">
      <w:bodyDiv w:val="1"/>
      <w:marLeft w:val="0"/>
      <w:marRight w:val="0"/>
      <w:marTop w:val="0"/>
      <w:marBottom w:val="0"/>
      <w:divBdr>
        <w:top w:val="none" w:sz="0" w:space="0" w:color="auto"/>
        <w:left w:val="none" w:sz="0" w:space="0" w:color="auto"/>
        <w:bottom w:val="none" w:sz="0" w:space="0" w:color="auto"/>
        <w:right w:val="none" w:sz="0" w:space="0" w:color="auto"/>
      </w:divBdr>
    </w:div>
    <w:div w:id="1849320713">
      <w:bodyDiv w:val="1"/>
      <w:marLeft w:val="0"/>
      <w:marRight w:val="0"/>
      <w:marTop w:val="0"/>
      <w:marBottom w:val="0"/>
      <w:divBdr>
        <w:top w:val="none" w:sz="0" w:space="0" w:color="auto"/>
        <w:left w:val="none" w:sz="0" w:space="0" w:color="auto"/>
        <w:bottom w:val="none" w:sz="0" w:space="0" w:color="auto"/>
        <w:right w:val="none" w:sz="0" w:space="0" w:color="auto"/>
      </w:divBdr>
    </w:div>
    <w:div w:id="1857381485">
      <w:bodyDiv w:val="1"/>
      <w:marLeft w:val="0"/>
      <w:marRight w:val="0"/>
      <w:marTop w:val="0"/>
      <w:marBottom w:val="0"/>
      <w:divBdr>
        <w:top w:val="none" w:sz="0" w:space="0" w:color="auto"/>
        <w:left w:val="none" w:sz="0" w:space="0" w:color="auto"/>
        <w:bottom w:val="none" w:sz="0" w:space="0" w:color="auto"/>
        <w:right w:val="none" w:sz="0" w:space="0" w:color="auto"/>
      </w:divBdr>
    </w:div>
    <w:div w:id="1858737102">
      <w:bodyDiv w:val="1"/>
      <w:marLeft w:val="0"/>
      <w:marRight w:val="0"/>
      <w:marTop w:val="0"/>
      <w:marBottom w:val="0"/>
      <w:divBdr>
        <w:top w:val="none" w:sz="0" w:space="0" w:color="auto"/>
        <w:left w:val="none" w:sz="0" w:space="0" w:color="auto"/>
        <w:bottom w:val="none" w:sz="0" w:space="0" w:color="auto"/>
        <w:right w:val="none" w:sz="0" w:space="0" w:color="auto"/>
      </w:divBdr>
    </w:div>
    <w:div w:id="1859393349">
      <w:bodyDiv w:val="1"/>
      <w:marLeft w:val="0"/>
      <w:marRight w:val="0"/>
      <w:marTop w:val="0"/>
      <w:marBottom w:val="0"/>
      <w:divBdr>
        <w:top w:val="none" w:sz="0" w:space="0" w:color="auto"/>
        <w:left w:val="none" w:sz="0" w:space="0" w:color="auto"/>
        <w:bottom w:val="none" w:sz="0" w:space="0" w:color="auto"/>
        <w:right w:val="none" w:sz="0" w:space="0" w:color="auto"/>
      </w:divBdr>
    </w:div>
    <w:div w:id="1861355541">
      <w:bodyDiv w:val="1"/>
      <w:marLeft w:val="0"/>
      <w:marRight w:val="0"/>
      <w:marTop w:val="0"/>
      <w:marBottom w:val="0"/>
      <w:divBdr>
        <w:top w:val="none" w:sz="0" w:space="0" w:color="auto"/>
        <w:left w:val="none" w:sz="0" w:space="0" w:color="auto"/>
        <w:bottom w:val="none" w:sz="0" w:space="0" w:color="auto"/>
        <w:right w:val="none" w:sz="0" w:space="0" w:color="auto"/>
      </w:divBdr>
      <w:divsChild>
        <w:div w:id="240062484">
          <w:marLeft w:val="0"/>
          <w:marRight w:val="0"/>
          <w:marTop w:val="0"/>
          <w:marBottom w:val="0"/>
          <w:divBdr>
            <w:top w:val="none" w:sz="0" w:space="0" w:color="auto"/>
            <w:left w:val="none" w:sz="0" w:space="0" w:color="auto"/>
            <w:bottom w:val="none" w:sz="0" w:space="0" w:color="auto"/>
            <w:right w:val="none" w:sz="0" w:space="0" w:color="auto"/>
          </w:divBdr>
          <w:divsChild>
            <w:div w:id="1357195350">
              <w:marLeft w:val="0"/>
              <w:marRight w:val="0"/>
              <w:marTop w:val="0"/>
              <w:marBottom w:val="0"/>
              <w:divBdr>
                <w:top w:val="none" w:sz="0" w:space="0" w:color="auto"/>
                <w:left w:val="none" w:sz="0" w:space="0" w:color="auto"/>
                <w:bottom w:val="none" w:sz="0" w:space="0" w:color="auto"/>
                <w:right w:val="none" w:sz="0" w:space="0" w:color="auto"/>
              </w:divBdr>
              <w:divsChild>
                <w:div w:id="720713497">
                  <w:marLeft w:val="0"/>
                  <w:marRight w:val="0"/>
                  <w:marTop w:val="0"/>
                  <w:marBottom w:val="0"/>
                  <w:divBdr>
                    <w:top w:val="none" w:sz="0" w:space="0" w:color="auto"/>
                    <w:left w:val="none" w:sz="0" w:space="0" w:color="auto"/>
                    <w:bottom w:val="none" w:sz="0" w:space="0" w:color="auto"/>
                    <w:right w:val="none" w:sz="0" w:space="0" w:color="auto"/>
                  </w:divBdr>
                  <w:divsChild>
                    <w:div w:id="3522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4251">
      <w:bodyDiv w:val="1"/>
      <w:marLeft w:val="0"/>
      <w:marRight w:val="0"/>
      <w:marTop w:val="0"/>
      <w:marBottom w:val="0"/>
      <w:divBdr>
        <w:top w:val="none" w:sz="0" w:space="0" w:color="auto"/>
        <w:left w:val="none" w:sz="0" w:space="0" w:color="auto"/>
        <w:bottom w:val="none" w:sz="0" w:space="0" w:color="auto"/>
        <w:right w:val="none" w:sz="0" w:space="0" w:color="auto"/>
      </w:divBdr>
    </w:div>
    <w:div w:id="1863591622">
      <w:bodyDiv w:val="1"/>
      <w:marLeft w:val="0"/>
      <w:marRight w:val="0"/>
      <w:marTop w:val="0"/>
      <w:marBottom w:val="0"/>
      <w:divBdr>
        <w:top w:val="none" w:sz="0" w:space="0" w:color="auto"/>
        <w:left w:val="none" w:sz="0" w:space="0" w:color="auto"/>
        <w:bottom w:val="none" w:sz="0" w:space="0" w:color="auto"/>
        <w:right w:val="none" w:sz="0" w:space="0" w:color="auto"/>
      </w:divBdr>
    </w:div>
    <w:div w:id="1864512624">
      <w:bodyDiv w:val="1"/>
      <w:marLeft w:val="0"/>
      <w:marRight w:val="0"/>
      <w:marTop w:val="0"/>
      <w:marBottom w:val="0"/>
      <w:divBdr>
        <w:top w:val="none" w:sz="0" w:space="0" w:color="auto"/>
        <w:left w:val="none" w:sz="0" w:space="0" w:color="auto"/>
        <w:bottom w:val="none" w:sz="0" w:space="0" w:color="auto"/>
        <w:right w:val="none" w:sz="0" w:space="0" w:color="auto"/>
      </w:divBdr>
    </w:div>
    <w:div w:id="1867139893">
      <w:bodyDiv w:val="1"/>
      <w:marLeft w:val="0"/>
      <w:marRight w:val="0"/>
      <w:marTop w:val="0"/>
      <w:marBottom w:val="0"/>
      <w:divBdr>
        <w:top w:val="none" w:sz="0" w:space="0" w:color="auto"/>
        <w:left w:val="none" w:sz="0" w:space="0" w:color="auto"/>
        <w:bottom w:val="none" w:sz="0" w:space="0" w:color="auto"/>
        <w:right w:val="none" w:sz="0" w:space="0" w:color="auto"/>
      </w:divBdr>
      <w:divsChild>
        <w:div w:id="1987469652">
          <w:marLeft w:val="547"/>
          <w:marRight w:val="0"/>
          <w:marTop w:val="0"/>
          <w:marBottom w:val="120"/>
          <w:divBdr>
            <w:top w:val="none" w:sz="0" w:space="0" w:color="auto"/>
            <w:left w:val="none" w:sz="0" w:space="0" w:color="auto"/>
            <w:bottom w:val="none" w:sz="0" w:space="0" w:color="auto"/>
            <w:right w:val="none" w:sz="0" w:space="0" w:color="auto"/>
          </w:divBdr>
        </w:div>
        <w:div w:id="163324088">
          <w:marLeft w:val="547"/>
          <w:marRight w:val="0"/>
          <w:marTop w:val="0"/>
          <w:marBottom w:val="120"/>
          <w:divBdr>
            <w:top w:val="none" w:sz="0" w:space="0" w:color="auto"/>
            <w:left w:val="none" w:sz="0" w:space="0" w:color="auto"/>
            <w:bottom w:val="none" w:sz="0" w:space="0" w:color="auto"/>
            <w:right w:val="none" w:sz="0" w:space="0" w:color="auto"/>
          </w:divBdr>
        </w:div>
        <w:div w:id="1059938979">
          <w:marLeft w:val="1166"/>
          <w:marRight w:val="0"/>
          <w:marTop w:val="0"/>
          <w:marBottom w:val="120"/>
          <w:divBdr>
            <w:top w:val="none" w:sz="0" w:space="0" w:color="auto"/>
            <w:left w:val="none" w:sz="0" w:space="0" w:color="auto"/>
            <w:bottom w:val="none" w:sz="0" w:space="0" w:color="auto"/>
            <w:right w:val="none" w:sz="0" w:space="0" w:color="auto"/>
          </w:divBdr>
        </w:div>
        <w:div w:id="1658994426">
          <w:marLeft w:val="1166"/>
          <w:marRight w:val="0"/>
          <w:marTop w:val="0"/>
          <w:marBottom w:val="120"/>
          <w:divBdr>
            <w:top w:val="none" w:sz="0" w:space="0" w:color="auto"/>
            <w:left w:val="none" w:sz="0" w:space="0" w:color="auto"/>
            <w:bottom w:val="none" w:sz="0" w:space="0" w:color="auto"/>
            <w:right w:val="none" w:sz="0" w:space="0" w:color="auto"/>
          </w:divBdr>
        </w:div>
        <w:div w:id="1352729110">
          <w:marLeft w:val="1166"/>
          <w:marRight w:val="0"/>
          <w:marTop w:val="0"/>
          <w:marBottom w:val="120"/>
          <w:divBdr>
            <w:top w:val="none" w:sz="0" w:space="0" w:color="auto"/>
            <w:left w:val="none" w:sz="0" w:space="0" w:color="auto"/>
            <w:bottom w:val="none" w:sz="0" w:space="0" w:color="auto"/>
            <w:right w:val="none" w:sz="0" w:space="0" w:color="auto"/>
          </w:divBdr>
        </w:div>
        <w:div w:id="2044136569">
          <w:marLeft w:val="1166"/>
          <w:marRight w:val="0"/>
          <w:marTop w:val="0"/>
          <w:marBottom w:val="120"/>
          <w:divBdr>
            <w:top w:val="none" w:sz="0" w:space="0" w:color="auto"/>
            <w:left w:val="none" w:sz="0" w:space="0" w:color="auto"/>
            <w:bottom w:val="none" w:sz="0" w:space="0" w:color="auto"/>
            <w:right w:val="none" w:sz="0" w:space="0" w:color="auto"/>
          </w:divBdr>
        </w:div>
        <w:div w:id="1975406957">
          <w:marLeft w:val="1166"/>
          <w:marRight w:val="0"/>
          <w:marTop w:val="0"/>
          <w:marBottom w:val="120"/>
          <w:divBdr>
            <w:top w:val="none" w:sz="0" w:space="0" w:color="auto"/>
            <w:left w:val="none" w:sz="0" w:space="0" w:color="auto"/>
            <w:bottom w:val="none" w:sz="0" w:space="0" w:color="auto"/>
            <w:right w:val="none" w:sz="0" w:space="0" w:color="auto"/>
          </w:divBdr>
        </w:div>
        <w:div w:id="1978752466">
          <w:marLeft w:val="547"/>
          <w:marRight w:val="0"/>
          <w:marTop w:val="0"/>
          <w:marBottom w:val="120"/>
          <w:divBdr>
            <w:top w:val="none" w:sz="0" w:space="0" w:color="auto"/>
            <w:left w:val="none" w:sz="0" w:space="0" w:color="auto"/>
            <w:bottom w:val="none" w:sz="0" w:space="0" w:color="auto"/>
            <w:right w:val="none" w:sz="0" w:space="0" w:color="auto"/>
          </w:divBdr>
        </w:div>
      </w:divsChild>
    </w:div>
    <w:div w:id="1868908994">
      <w:bodyDiv w:val="1"/>
      <w:marLeft w:val="0"/>
      <w:marRight w:val="0"/>
      <w:marTop w:val="0"/>
      <w:marBottom w:val="0"/>
      <w:divBdr>
        <w:top w:val="none" w:sz="0" w:space="0" w:color="auto"/>
        <w:left w:val="none" w:sz="0" w:space="0" w:color="auto"/>
        <w:bottom w:val="none" w:sz="0" w:space="0" w:color="auto"/>
        <w:right w:val="none" w:sz="0" w:space="0" w:color="auto"/>
      </w:divBdr>
      <w:divsChild>
        <w:div w:id="1840002905">
          <w:marLeft w:val="0"/>
          <w:marRight w:val="0"/>
          <w:marTop w:val="0"/>
          <w:marBottom w:val="0"/>
          <w:divBdr>
            <w:top w:val="none" w:sz="0" w:space="0" w:color="auto"/>
            <w:left w:val="none" w:sz="0" w:space="0" w:color="auto"/>
            <w:bottom w:val="none" w:sz="0" w:space="0" w:color="auto"/>
            <w:right w:val="none" w:sz="0" w:space="0" w:color="auto"/>
          </w:divBdr>
        </w:div>
        <w:div w:id="1943486424">
          <w:marLeft w:val="0"/>
          <w:marRight w:val="0"/>
          <w:marTop w:val="0"/>
          <w:marBottom w:val="0"/>
          <w:divBdr>
            <w:top w:val="none" w:sz="0" w:space="0" w:color="auto"/>
            <w:left w:val="none" w:sz="0" w:space="0" w:color="auto"/>
            <w:bottom w:val="none" w:sz="0" w:space="0" w:color="auto"/>
            <w:right w:val="none" w:sz="0" w:space="0" w:color="auto"/>
          </w:divBdr>
        </w:div>
      </w:divsChild>
    </w:div>
    <w:div w:id="1876579183">
      <w:bodyDiv w:val="1"/>
      <w:marLeft w:val="0"/>
      <w:marRight w:val="0"/>
      <w:marTop w:val="0"/>
      <w:marBottom w:val="0"/>
      <w:divBdr>
        <w:top w:val="none" w:sz="0" w:space="0" w:color="auto"/>
        <w:left w:val="none" w:sz="0" w:space="0" w:color="auto"/>
        <w:bottom w:val="none" w:sz="0" w:space="0" w:color="auto"/>
        <w:right w:val="none" w:sz="0" w:space="0" w:color="auto"/>
      </w:divBdr>
      <w:divsChild>
        <w:div w:id="1720861173">
          <w:marLeft w:val="480"/>
          <w:marRight w:val="0"/>
          <w:marTop w:val="0"/>
          <w:marBottom w:val="0"/>
          <w:divBdr>
            <w:top w:val="none" w:sz="0" w:space="0" w:color="auto"/>
            <w:left w:val="none" w:sz="0" w:space="0" w:color="auto"/>
            <w:bottom w:val="none" w:sz="0" w:space="0" w:color="auto"/>
            <w:right w:val="none" w:sz="0" w:space="0" w:color="auto"/>
          </w:divBdr>
          <w:divsChild>
            <w:div w:id="20073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010">
      <w:bodyDiv w:val="1"/>
      <w:marLeft w:val="0"/>
      <w:marRight w:val="0"/>
      <w:marTop w:val="0"/>
      <w:marBottom w:val="0"/>
      <w:divBdr>
        <w:top w:val="none" w:sz="0" w:space="0" w:color="auto"/>
        <w:left w:val="none" w:sz="0" w:space="0" w:color="auto"/>
        <w:bottom w:val="none" w:sz="0" w:space="0" w:color="auto"/>
        <w:right w:val="none" w:sz="0" w:space="0" w:color="auto"/>
      </w:divBdr>
      <w:divsChild>
        <w:div w:id="990601039">
          <w:marLeft w:val="288"/>
          <w:marRight w:val="0"/>
          <w:marTop w:val="80"/>
          <w:marBottom w:val="0"/>
          <w:divBdr>
            <w:top w:val="none" w:sz="0" w:space="0" w:color="auto"/>
            <w:left w:val="none" w:sz="0" w:space="0" w:color="auto"/>
            <w:bottom w:val="none" w:sz="0" w:space="0" w:color="auto"/>
            <w:right w:val="none" w:sz="0" w:space="0" w:color="auto"/>
          </w:divBdr>
        </w:div>
        <w:div w:id="1204751418">
          <w:marLeft w:val="288"/>
          <w:marRight w:val="0"/>
          <w:marTop w:val="80"/>
          <w:marBottom w:val="0"/>
          <w:divBdr>
            <w:top w:val="none" w:sz="0" w:space="0" w:color="auto"/>
            <w:left w:val="none" w:sz="0" w:space="0" w:color="auto"/>
            <w:bottom w:val="none" w:sz="0" w:space="0" w:color="auto"/>
            <w:right w:val="none" w:sz="0" w:space="0" w:color="auto"/>
          </w:divBdr>
        </w:div>
        <w:div w:id="602885662">
          <w:marLeft w:val="288"/>
          <w:marRight w:val="0"/>
          <w:marTop w:val="80"/>
          <w:marBottom w:val="0"/>
          <w:divBdr>
            <w:top w:val="none" w:sz="0" w:space="0" w:color="auto"/>
            <w:left w:val="none" w:sz="0" w:space="0" w:color="auto"/>
            <w:bottom w:val="none" w:sz="0" w:space="0" w:color="auto"/>
            <w:right w:val="none" w:sz="0" w:space="0" w:color="auto"/>
          </w:divBdr>
        </w:div>
        <w:div w:id="1039747142">
          <w:marLeft w:val="288"/>
          <w:marRight w:val="0"/>
          <w:marTop w:val="80"/>
          <w:marBottom w:val="0"/>
          <w:divBdr>
            <w:top w:val="none" w:sz="0" w:space="0" w:color="auto"/>
            <w:left w:val="none" w:sz="0" w:space="0" w:color="auto"/>
            <w:bottom w:val="none" w:sz="0" w:space="0" w:color="auto"/>
            <w:right w:val="none" w:sz="0" w:space="0" w:color="auto"/>
          </w:divBdr>
        </w:div>
        <w:div w:id="993295071">
          <w:marLeft w:val="288"/>
          <w:marRight w:val="0"/>
          <w:marTop w:val="80"/>
          <w:marBottom w:val="0"/>
          <w:divBdr>
            <w:top w:val="none" w:sz="0" w:space="0" w:color="auto"/>
            <w:left w:val="none" w:sz="0" w:space="0" w:color="auto"/>
            <w:bottom w:val="none" w:sz="0" w:space="0" w:color="auto"/>
            <w:right w:val="none" w:sz="0" w:space="0" w:color="auto"/>
          </w:divBdr>
        </w:div>
      </w:divsChild>
    </w:div>
    <w:div w:id="1882597910">
      <w:bodyDiv w:val="1"/>
      <w:marLeft w:val="0"/>
      <w:marRight w:val="0"/>
      <w:marTop w:val="0"/>
      <w:marBottom w:val="0"/>
      <w:divBdr>
        <w:top w:val="none" w:sz="0" w:space="0" w:color="auto"/>
        <w:left w:val="none" w:sz="0" w:space="0" w:color="auto"/>
        <w:bottom w:val="none" w:sz="0" w:space="0" w:color="auto"/>
        <w:right w:val="none" w:sz="0" w:space="0" w:color="auto"/>
      </w:divBdr>
    </w:div>
    <w:div w:id="1903902358">
      <w:bodyDiv w:val="1"/>
      <w:marLeft w:val="0"/>
      <w:marRight w:val="0"/>
      <w:marTop w:val="0"/>
      <w:marBottom w:val="0"/>
      <w:divBdr>
        <w:top w:val="none" w:sz="0" w:space="0" w:color="auto"/>
        <w:left w:val="none" w:sz="0" w:space="0" w:color="auto"/>
        <w:bottom w:val="none" w:sz="0" w:space="0" w:color="auto"/>
        <w:right w:val="none" w:sz="0" w:space="0" w:color="auto"/>
      </w:divBdr>
      <w:divsChild>
        <w:div w:id="542979812">
          <w:marLeft w:val="720"/>
          <w:marRight w:val="0"/>
          <w:marTop w:val="0"/>
          <w:marBottom w:val="0"/>
          <w:divBdr>
            <w:top w:val="none" w:sz="0" w:space="0" w:color="auto"/>
            <w:left w:val="none" w:sz="0" w:space="0" w:color="auto"/>
            <w:bottom w:val="none" w:sz="0" w:space="0" w:color="auto"/>
            <w:right w:val="none" w:sz="0" w:space="0" w:color="auto"/>
          </w:divBdr>
        </w:div>
        <w:div w:id="20714922">
          <w:marLeft w:val="720"/>
          <w:marRight w:val="0"/>
          <w:marTop w:val="0"/>
          <w:marBottom w:val="0"/>
          <w:divBdr>
            <w:top w:val="none" w:sz="0" w:space="0" w:color="auto"/>
            <w:left w:val="none" w:sz="0" w:space="0" w:color="auto"/>
            <w:bottom w:val="none" w:sz="0" w:space="0" w:color="auto"/>
            <w:right w:val="none" w:sz="0" w:space="0" w:color="auto"/>
          </w:divBdr>
        </w:div>
        <w:div w:id="310907468">
          <w:marLeft w:val="720"/>
          <w:marRight w:val="0"/>
          <w:marTop w:val="0"/>
          <w:marBottom w:val="0"/>
          <w:divBdr>
            <w:top w:val="none" w:sz="0" w:space="0" w:color="auto"/>
            <w:left w:val="none" w:sz="0" w:space="0" w:color="auto"/>
            <w:bottom w:val="none" w:sz="0" w:space="0" w:color="auto"/>
            <w:right w:val="none" w:sz="0" w:space="0" w:color="auto"/>
          </w:divBdr>
        </w:div>
      </w:divsChild>
    </w:div>
    <w:div w:id="1904483596">
      <w:bodyDiv w:val="1"/>
      <w:marLeft w:val="0"/>
      <w:marRight w:val="0"/>
      <w:marTop w:val="0"/>
      <w:marBottom w:val="0"/>
      <w:divBdr>
        <w:top w:val="none" w:sz="0" w:space="0" w:color="auto"/>
        <w:left w:val="none" w:sz="0" w:space="0" w:color="auto"/>
        <w:bottom w:val="none" w:sz="0" w:space="0" w:color="auto"/>
        <w:right w:val="none" w:sz="0" w:space="0" w:color="auto"/>
      </w:divBdr>
      <w:divsChild>
        <w:div w:id="1823740138">
          <w:marLeft w:val="0"/>
          <w:marRight w:val="0"/>
          <w:marTop w:val="0"/>
          <w:marBottom w:val="0"/>
          <w:divBdr>
            <w:top w:val="none" w:sz="0" w:space="0" w:color="auto"/>
            <w:left w:val="none" w:sz="0" w:space="0" w:color="auto"/>
            <w:bottom w:val="none" w:sz="0" w:space="0" w:color="auto"/>
            <w:right w:val="none" w:sz="0" w:space="0" w:color="auto"/>
          </w:divBdr>
        </w:div>
        <w:div w:id="1655911977">
          <w:marLeft w:val="0"/>
          <w:marRight w:val="0"/>
          <w:marTop w:val="0"/>
          <w:marBottom w:val="0"/>
          <w:divBdr>
            <w:top w:val="none" w:sz="0" w:space="0" w:color="auto"/>
            <w:left w:val="none" w:sz="0" w:space="0" w:color="auto"/>
            <w:bottom w:val="none" w:sz="0" w:space="0" w:color="auto"/>
            <w:right w:val="none" w:sz="0" w:space="0" w:color="auto"/>
          </w:divBdr>
        </w:div>
        <w:div w:id="1705590542">
          <w:marLeft w:val="0"/>
          <w:marRight w:val="0"/>
          <w:marTop w:val="0"/>
          <w:marBottom w:val="0"/>
          <w:divBdr>
            <w:top w:val="none" w:sz="0" w:space="0" w:color="auto"/>
            <w:left w:val="none" w:sz="0" w:space="0" w:color="auto"/>
            <w:bottom w:val="none" w:sz="0" w:space="0" w:color="auto"/>
            <w:right w:val="none" w:sz="0" w:space="0" w:color="auto"/>
          </w:divBdr>
        </w:div>
        <w:div w:id="130753041">
          <w:marLeft w:val="0"/>
          <w:marRight w:val="0"/>
          <w:marTop w:val="0"/>
          <w:marBottom w:val="0"/>
          <w:divBdr>
            <w:top w:val="none" w:sz="0" w:space="0" w:color="auto"/>
            <w:left w:val="none" w:sz="0" w:space="0" w:color="auto"/>
            <w:bottom w:val="none" w:sz="0" w:space="0" w:color="auto"/>
            <w:right w:val="none" w:sz="0" w:space="0" w:color="auto"/>
          </w:divBdr>
        </w:div>
      </w:divsChild>
    </w:div>
    <w:div w:id="1908757931">
      <w:bodyDiv w:val="1"/>
      <w:marLeft w:val="0"/>
      <w:marRight w:val="0"/>
      <w:marTop w:val="0"/>
      <w:marBottom w:val="0"/>
      <w:divBdr>
        <w:top w:val="none" w:sz="0" w:space="0" w:color="auto"/>
        <w:left w:val="none" w:sz="0" w:space="0" w:color="auto"/>
        <w:bottom w:val="none" w:sz="0" w:space="0" w:color="auto"/>
        <w:right w:val="none" w:sz="0" w:space="0" w:color="auto"/>
      </w:divBdr>
    </w:div>
    <w:div w:id="1909991930">
      <w:bodyDiv w:val="1"/>
      <w:marLeft w:val="0"/>
      <w:marRight w:val="0"/>
      <w:marTop w:val="0"/>
      <w:marBottom w:val="0"/>
      <w:divBdr>
        <w:top w:val="none" w:sz="0" w:space="0" w:color="auto"/>
        <w:left w:val="none" w:sz="0" w:space="0" w:color="auto"/>
        <w:bottom w:val="none" w:sz="0" w:space="0" w:color="auto"/>
        <w:right w:val="none" w:sz="0" w:space="0" w:color="auto"/>
      </w:divBdr>
    </w:div>
    <w:div w:id="1910580509">
      <w:bodyDiv w:val="1"/>
      <w:marLeft w:val="0"/>
      <w:marRight w:val="0"/>
      <w:marTop w:val="0"/>
      <w:marBottom w:val="0"/>
      <w:divBdr>
        <w:top w:val="none" w:sz="0" w:space="0" w:color="auto"/>
        <w:left w:val="none" w:sz="0" w:space="0" w:color="auto"/>
        <w:bottom w:val="none" w:sz="0" w:space="0" w:color="auto"/>
        <w:right w:val="none" w:sz="0" w:space="0" w:color="auto"/>
      </w:divBdr>
    </w:div>
    <w:div w:id="1914773675">
      <w:bodyDiv w:val="1"/>
      <w:marLeft w:val="0"/>
      <w:marRight w:val="0"/>
      <w:marTop w:val="0"/>
      <w:marBottom w:val="0"/>
      <w:divBdr>
        <w:top w:val="none" w:sz="0" w:space="0" w:color="auto"/>
        <w:left w:val="none" w:sz="0" w:space="0" w:color="auto"/>
        <w:bottom w:val="none" w:sz="0" w:space="0" w:color="auto"/>
        <w:right w:val="none" w:sz="0" w:space="0" w:color="auto"/>
      </w:divBdr>
    </w:div>
    <w:div w:id="1926108106">
      <w:bodyDiv w:val="1"/>
      <w:marLeft w:val="0"/>
      <w:marRight w:val="0"/>
      <w:marTop w:val="0"/>
      <w:marBottom w:val="0"/>
      <w:divBdr>
        <w:top w:val="none" w:sz="0" w:space="0" w:color="auto"/>
        <w:left w:val="none" w:sz="0" w:space="0" w:color="auto"/>
        <w:bottom w:val="none" w:sz="0" w:space="0" w:color="auto"/>
        <w:right w:val="none" w:sz="0" w:space="0" w:color="auto"/>
      </w:divBdr>
    </w:div>
    <w:div w:id="1938173662">
      <w:bodyDiv w:val="1"/>
      <w:marLeft w:val="0"/>
      <w:marRight w:val="0"/>
      <w:marTop w:val="0"/>
      <w:marBottom w:val="0"/>
      <w:divBdr>
        <w:top w:val="none" w:sz="0" w:space="0" w:color="auto"/>
        <w:left w:val="none" w:sz="0" w:space="0" w:color="auto"/>
        <w:bottom w:val="none" w:sz="0" w:space="0" w:color="auto"/>
        <w:right w:val="none" w:sz="0" w:space="0" w:color="auto"/>
      </w:divBdr>
      <w:divsChild>
        <w:div w:id="472137175">
          <w:marLeft w:val="288"/>
          <w:marRight w:val="0"/>
          <w:marTop w:val="80"/>
          <w:marBottom w:val="0"/>
          <w:divBdr>
            <w:top w:val="none" w:sz="0" w:space="0" w:color="auto"/>
            <w:left w:val="none" w:sz="0" w:space="0" w:color="auto"/>
            <w:bottom w:val="none" w:sz="0" w:space="0" w:color="auto"/>
            <w:right w:val="none" w:sz="0" w:space="0" w:color="auto"/>
          </w:divBdr>
        </w:div>
      </w:divsChild>
    </w:div>
    <w:div w:id="1943368152">
      <w:bodyDiv w:val="1"/>
      <w:marLeft w:val="0"/>
      <w:marRight w:val="0"/>
      <w:marTop w:val="0"/>
      <w:marBottom w:val="0"/>
      <w:divBdr>
        <w:top w:val="none" w:sz="0" w:space="0" w:color="auto"/>
        <w:left w:val="none" w:sz="0" w:space="0" w:color="auto"/>
        <w:bottom w:val="none" w:sz="0" w:space="0" w:color="auto"/>
        <w:right w:val="none" w:sz="0" w:space="0" w:color="auto"/>
      </w:divBdr>
    </w:div>
    <w:div w:id="1949464419">
      <w:bodyDiv w:val="1"/>
      <w:marLeft w:val="0"/>
      <w:marRight w:val="0"/>
      <w:marTop w:val="0"/>
      <w:marBottom w:val="0"/>
      <w:divBdr>
        <w:top w:val="none" w:sz="0" w:space="0" w:color="auto"/>
        <w:left w:val="none" w:sz="0" w:space="0" w:color="auto"/>
        <w:bottom w:val="none" w:sz="0" w:space="0" w:color="auto"/>
        <w:right w:val="none" w:sz="0" w:space="0" w:color="auto"/>
      </w:divBdr>
    </w:div>
    <w:div w:id="1955667561">
      <w:bodyDiv w:val="1"/>
      <w:marLeft w:val="0"/>
      <w:marRight w:val="0"/>
      <w:marTop w:val="0"/>
      <w:marBottom w:val="0"/>
      <w:divBdr>
        <w:top w:val="none" w:sz="0" w:space="0" w:color="auto"/>
        <w:left w:val="none" w:sz="0" w:space="0" w:color="auto"/>
        <w:bottom w:val="none" w:sz="0" w:space="0" w:color="auto"/>
        <w:right w:val="none" w:sz="0" w:space="0" w:color="auto"/>
      </w:divBdr>
    </w:div>
    <w:div w:id="1956674166">
      <w:bodyDiv w:val="1"/>
      <w:marLeft w:val="0"/>
      <w:marRight w:val="0"/>
      <w:marTop w:val="0"/>
      <w:marBottom w:val="0"/>
      <w:divBdr>
        <w:top w:val="none" w:sz="0" w:space="0" w:color="auto"/>
        <w:left w:val="none" w:sz="0" w:space="0" w:color="auto"/>
        <w:bottom w:val="none" w:sz="0" w:space="0" w:color="auto"/>
        <w:right w:val="none" w:sz="0" w:space="0" w:color="auto"/>
      </w:divBdr>
    </w:div>
    <w:div w:id="1960136519">
      <w:bodyDiv w:val="1"/>
      <w:marLeft w:val="0"/>
      <w:marRight w:val="0"/>
      <w:marTop w:val="0"/>
      <w:marBottom w:val="0"/>
      <w:divBdr>
        <w:top w:val="none" w:sz="0" w:space="0" w:color="auto"/>
        <w:left w:val="none" w:sz="0" w:space="0" w:color="auto"/>
        <w:bottom w:val="none" w:sz="0" w:space="0" w:color="auto"/>
        <w:right w:val="none" w:sz="0" w:space="0" w:color="auto"/>
      </w:divBdr>
      <w:divsChild>
        <w:div w:id="1482962073">
          <w:marLeft w:val="0"/>
          <w:marRight w:val="0"/>
          <w:marTop w:val="150"/>
          <w:marBottom w:val="0"/>
          <w:divBdr>
            <w:top w:val="none" w:sz="0" w:space="0" w:color="auto"/>
            <w:left w:val="none" w:sz="0" w:space="0" w:color="auto"/>
            <w:bottom w:val="none" w:sz="0" w:space="0" w:color="auto"/>
            <w:right w:val="none" w:sz="0" w:space="0" w:color="auto"/>
          </w:divBdr>
        </w:div>
      </w:divsChild>
    </w:div>
    <w:div w:id="1966111872">
      <w:bodyDiv w:val="1"/>
      <w:marLeft w:val="0"/>
      <w:marRight w:val="0"/>
      <w:marTop w:val="0"/>
      <w:marBottom w:val="0"/>
      <w:divBdr>
        <w:top w:val="none" w:sz="0" w:space="0" w:color="auto"/>
        <w:left w:val="none" w:sz="0" w:space="0" w:color="auto"/>
        <w:bottom w:val="none" w:sz="0" w:space="0" w:color="auto"/>
        <w:right w:val="none" w:sz="0" w:space="0" w:color="auto"/>
      </w:divBdr>
    </w:div>
    <w:div w:id="1966498578">
      <w:bodyDiv w:val="1"/>
      <w:marLeft w:val="0"/>
      <w:marRight w:val="0"/>
      <w:marTop w:val="0"/>
      <w:marBottom w:val="0"/>
      <w:divBdr>
        <w:top w:val="none" w:sz="0" w:space="0" w:color="auto"/>
        <w:left w:val="none" w:sz="0" w:space="0" w:color="auto"/>
        <w:bottom w:val="none" w:sz="0" w:space="0" w:color="auto"/>
        <w:right w:val="none" w:sz="0" w:space="0" w:color="auto"/>
      </w:divBdr>
    </w:div>
    <w:div w:id="1973169369">
      <w:bodyDiv w:val="1"/>
      <w:marLeft w:val="0"/>
      <w:marRight w:val="0"/>
      <w:marTop w:val="0"/>
      <w:marBottom w:val="0"/>
      <w:divBdr>
        <w:top w:val="none" w:sz="0" w:space="0" w:color="auto"/>
        <w:left w:val="none" w:sz="0" w:space="0" w:color="auto"/>
        <w:bottom w:val="none" w:sz="0" w:space="0" w:color="auto"/>
        <w:right w:val="none" w:sz="0" w:space="0" w:color="auto"/>
      </w:divBdr>
    </w:div>
    <w:div w:id="1985696916">
      <w:bodyDiv w:val="1"/>
      <w:marLeft w:val="0"/>
      <w:marRight w:val="0"/>
      <w:marTop w:val="0"/>
      <w:marBottom w:val="0"/>
      <w:divBdr>
        <w:top w:val="none" w:sz="0" w:space="0" w:color="auto"/>
        <w:left w:val="none" w:sz="0" w:space="0" w:color="auto"/>
        <w:bottom w:val="none" w:sz="0" w:space="0" w:color="auto"/>
        <w:right w:val="none" w:sz="0" w:space="0" w:color="auto"/>
      </w:divBdr>
    </w:div>
    <w:div w:id="1989087340">
      <w:bodyDiv w:val="1"/>
      <w:marLeft w:val="0"/>
      <w:marRight w:val="0"/>
      <w:marTop w:val="0"/>
      <w:marBottom w:val="0"/>
      <w:divBdr>
        <w:top w:val="none" w:sz="0" w:space="0" w:color="auto"/>
        <w:left w:val="none" w:sz="0" w:space="0" w:color="auto"/>
        <w:bottom w:val="none" w:sz="0" w:space="0" w:color="auto"/>
        <w:right w:val="none" w:sz="0" w:space="0" w:color="auto"/>
      </w:divBdr>
    </w:div>
    <w:div w:id="2005669608">
      <w:bodyDiv w:val="1"/>
      <w:marLeft w:val="0"/>
      <w:marRight w:val="0"/>
      <w:marTop w:val="0"/>
      <w:marBottom w:val="0"/>
      <w:divBdr>
        <w:top w:val="none" w:sz="0" w:space="0" w:color="auto"/>
        <w:left w:val="none" w:sz="0" w:space="0" w:color="auto"/>
        <w:bottom w:val="none" w:sz="0" w:space="0" w:color="auto"/>
        <w:right w:val="none" w:sz="0" w:space="0" w:color="auto"/>
      </w:divBdr>
    </w:div>
    <w:div w:id="2005933965">
      <w:bodyDiv w:val="1"/>
      <w:marLeft w:val="0"/>
      <w:marRight w:val="0"/>
      <w:marTop w:val="0"/>
      <w:marBottom w:val="0"/>
      <w:divBdr>
        <w:top w:val="none" w:sz="0" w:space="0" w:color="auto"/>
        <w:left w:val="none" w:sz="0" w:space="0" w:color="auto"/>
        <w:bottom w:val="none" w:sz="0" w:space="0" w:color="auto"/>
        <w:right w:val="none" w:sz="0" w:space="0" w:color="auto"/>
      </w:divBdr>
      <w:divsChild>
        <w:div w:id="1586453200">
          <w:marLeft w:val="0"/>
          <w:marRight w:val="0"/>
          <w:marTop w:val="0"/>
          <w:marBottom w:val="0"/>
          <w:divBdr>
            <w:top w:val="none" w:sz="0" w:space="0" w:color="auto"/>
            <w:left w:val="none" w:sz="0" w:space="0" w:color="auto"/>
            <w:bottom w:val="none" w:sz="0" w:space="0" w:color="auto"/>
            <w:right w:val="none" w:sz="0" w:space="0" w:color="auto"/>
          </w:divBdr>
        </w:div>
        <w:div w:id="159394735">
          <w:marLeft w:val="0"/>
          <w:marRight w:val="0"/>
          <w:marTop w:val="0"/>
          <w:marBottom w:val="0"/>
          <w:divBdr>
            <w:top w:val="none" w:sz="0" w:space="0" w:color="auto"/>
            <w:left w:val="none" w:sz="0" w:space="0" w:color="auto"/>
            <w:bottom w:val="none" w:sz="0" w:space="0" w:color="auto"/>
            <w:right w:val="none" w:sz="0" w:space="0" w:color="auto"/>
          </w:divBdr>
        </w:div>
        <w:div w:id="1585526307">
          <w:marLeft w:val="0"/>
          <w:marRight w:val="0"/>
          <w:marTop w:val="0"/>
          <w:marBottom w:val="0"/>
          <w:divBdr>
            <w:top w:val="none" w:sz="0" w:space="0" w:color="auto"/>
            <w:left w:val="none" w:sz="0" w:space="0" w:color="auto"/>
            <w:bottom w:val="none" w:sz="0" w:space="0" w:color="auto"/>
            <w:right w:val="none" w:sz="0" w:space="0" w:color="auto"/>
          </w:divBdr>
        </w:div>
      </w:divsChild>
    </w:div>
    <w:div w:id="2006778990">
      <w:bodyDiv w:val="1"/>
      <w:marLeft w:val="0"/>
      <w:marRight w:val="0"/>
      <w:marTop w:val="0"/>
      <w:marBottom w:val="0"/>
      <w:divBdr>
        <w:top w:val="none" w:sz="0" w:space="0" w:color="auto"/>
        <w:left w:val="none" w:sz="0" w:space="0" w:color="auto"/>
        <w:bottom w:val="none" w:sz="0" w:space="0" w:color="auto"/>
        <w:right w:val="none" w:sz="0" w:space="0" w:color="auto"/>
      </w:divBdr>
    </w:div>
    <w:div w:id="2007514727">
      <w:bodyDiv w:val="1"/>
      <w:marLeft w:val="0"/>
      <w:marRight w:val="0"/>
      <w:marTop w:val="0"/>
      <w:marBottom w:val="0"/>
      <w:divBdr>
        <w:top w:val="none" w:sz="0" w:space="0" w:color="auto"/>
        <w:left w:val="none" w:sz="0" w:space="0" w:color="auto"/>
        <w:bottom w:val="none" w:sz="0" w:space="0" w:color="auto"/>
        <w:right w:val="none" w:sz="0" w:space="0" w:color="auto"/>
      </w:divBdr>
    </w:div>
    <w:div w:id="2016761829">
      <w:bodyDiv w:val="1"/>
      <w:marLeft w:val="0"/>
      <w:marRight w:val="0"/>
      <w:marTop w:val="0"/>
      <w:marBottom w:val="0"/>
      <w:divBdr>
        <w:top w:val="none" w:sz="0" w:space="0" w:color="auto"/>
        <w:left w:val="none" w:sz="0" w:space="0" w:color="auto"/>
        <w:bottom w:val="none" w:sz="0" w:space="0" w:color="auto"/>
        <w:right w:val="none" w:sz="0" w:space="0" w:color="auto"/>
      </w:divBdr>
      <w:divsChild>
        <w:div w:id="174272102">
          <w:marLeft w:val="0"/>
          <w:marRight w:val="0"/>
          <w:marTop w:val="0"/>
          <w:marBottom w:val="0"/>
          <w:divBdr>
            <w:top w:val="none" w:sz="0" w:space="0" w:color="auto"/>
            <w:left w:val="none" w:sz="0" w:space="0" w:color="auto"/>
            <w:bottom w:val="none" w:sz="0" w:space="0" w:color="auto"/>
            <w:right w:val="none" w:sz="0" w:space="0" w:color="auto"/>
          </w:divBdr>
        </w:div>
        <w:div w:id="57703401">
          <w:marLeft w:val="0"/>
          <w:marRight w:val="0"/>
          <w:marTop w:val="0"/>
          <w:marBottom w:val="0"/>
          <w:divBdr>
            <w:top w:val="none" w:sz="0" w:space="0" w:color="auto"/>
            <w:left w:val="none" w:sz="0" w:space="0" w:color="auto"/>
            <w:bottom w:val="none" w:sz="0" w:space="0" w:color="auto"/>
            <w:right w:val="none" w:sz="0" w:space="0" w:color="auto"/>
          </w:divBdr>
        </w:div>
        <w:div w:id="1051997898">
          <w:marLeft w:val="0"/>
          <w:marRight w:val="0"/>
          <w:marTop w:val="0"/>
          <w:marBottom w:val="0"/>
          <w:divBdr>
            <w:top w:val="none" w:sz="0" w:space="0" w:color="auto"/>
            <w:left w:val="none" w:sz="0" w:space="0" w:color="auto"/>
            <w:bottom w:val="none" w:sz="0" w:space="0" w:color="auto"/>
            <w:right w:val="none" w:sz="0" w:space="0" w:color="auto"/>
          </w:divBdr>
        </w:div>
      </w:divsChild>
    </w:div>
    <w:div w:id="2017921924">
      <w:bodyDiv w:val="1"/>
      <w:marLeft w:val="0"/>
      <w:marRight w:val="0"/>
      <w:marTop w:val="0"/>
      <w:marBottom w:val="0"/>
      <w:divBdr>
        <w:top w:val="none" w:sz="0" w:space="0" w:color="auto"/>
        <w:left w:val="none" w:sz="0" w:space="0" w:color="auto"/>
        <w:bottom w:val="none" w:sz="0" w:space="0" w:color="auto"/>
        <w:right w:val="none" w:sz="0" w:space="0" w:color="auto"/>
      </w:divBdr>
      <w:divsChild>
        <w:div w:id="644046875">
          <w:marLeft w:val="547"/>
          <w:marRight w:val="0"/>
          <w:marTop w:val="0"/>
          <w:marBottom w:val="0"/>
          <w:divBdr>
            <w:top w:val="none" w:sz="0" w:space="0" w:color="auto"/>
            <w:left w:val="none" w:sz="0" w:space="0" w:color="auto"/>
            <w:bottom w:val="none" w:sz="0" w:space="0" w:color="auto"/>
            <w:right w:val="none" w:sz="0" w:space="0" w:color="auto"/>
          </w:divBdr>
        </w:div>
        <w:div w:id="306084939">
          <w:marLeft w:val="547"/>
          <w:marRight w:val="0"/>
          <w:marTop w:val="0"/>
          <w:marBottom w:val="0"/>
          <w:divBdr>
            <w:top w:val="none" w:sz="0" w:space="0" w:color="auto"/>
            <w:left w:val="none" w:sz="0" w:space="0" w:color="auto"/>
            <w:bottom w:val="none" w:sz="0" w:space="0" w:color="auto"/>
            <w:right w:val="none" w:sz="0" w:space="0" w:color="auto"/>
          </w:divBdr>
        </w:div>
      </w:divsChild>
    </w:div>
    <w:div w:id="2020695875">
      <w:bodyDiv w:val="1"/>
      <w:marLeft w:val="0"/>
      <w:marRight w:val="0"/>
      <w:marTop w:val="0"/>
      <w:marBottom w:val="0"/>
      <w:divBdr>
        <w:top w:val="none" w:sz="0" w:space="0" w:color="auto"/>
        <w:left w:val="none" w:sz="0" w:space="0" w:color="auto"/>
        <w:bottom w:val="none" w:sz="0" w:space="0" w:color="auto"/>
        <w:right w:val="none" w:sz="0" w:space="0" w:color="auto"/>
      </w:divBdr>
      <w:divsChild>
        <w:div w:id="2141998971">
          <w:marLeft w:val="0"/>
          <w:marRight w:val="0"/>
          <w:marTop w:val="0"/>
          <w:marBottom w:val="0"/>
          <w:divBdr>
            <w:top w:val="none" w:sz="0" w:space="0" w:color="auto"/>
            <w:left w:val="none" w:sz="0" w:space="0" w:color="auto"/>
            <w:bottom w:val="none" w:sz="0" w:space="0" w:color="auto"/>
            <w:right w:val="none" w:sz="0" w:space="0" w:color="auto"/>
          </w:divBdr>
        </w:div>
        <w:div w:id="1368412249">
          <w:marLeft w:val="0"/>
          <w:marRight w:val="0"/>
          <w:marTop w:val="0"/>
          <w:marBottom w:val="0"/>
          <w:divBdr>
            <w:top w:val="none" w:sz="0" w:space="0" w:color="auto"/>
            <w:left w:val="none" w:sz="0" w:space="0" w:color="auto"/>
            <w:bottom w:val="none" w:sz="0" w:space="0" w:color="auto"/>
            <w:right w:val="none" w:sz="0" w:space="0" w:color="auto"/>
          </w:divBdr>
        </w:div>
      </w:divsChild>
    </w:div>
    <w:div w:id="2024550655">
      <w:bodyDiv w:val="1"/>
      <w:marLeft w:val="0"/>
      <w:marRight w:val="0"/>
      <w:marTop w:val="0"/>
      <w:marBottom w:val="0"/>
      <w:divBdr>
        <w:top w:val="none" w:sz="0" w:space="0" w:color="auto"/>
        <w:left w:val="none" w:sz="0" w:space="0" w:color="auto"/>
        <w:bottom w:val="none" w:sz="0" w:space="0" w:color="auto"/>
        <w:right w:val="none" w:sz="0" w:space="0" w:color="auto"/>
      </w:divBdr>
    </w:div>
    <w:div w:id="2029595945">
      <w:bodyDiv w:val="1"/>
      <w:marLeft w:val="0"/>
      <w:marRight w:val="0"/>
      <w:marTop w:val="0"/>
      <w:marBottom w:val="0"/>
      <w:divBdr>
        <w:top w:val="none" w:sz="0" w:space="0" w:color="auto"/>
        <w:left w:val="none" w:sz="0" w:space="0" w:color="auto"/>
        <w:bottom w:val="none" w:sz="0" w:space="0" w:color="auto"/>
        <w:right w:val="none" w:sz="0" w:space="0" w:color="auto"/>
      </w:divBdr>
    </w:div>
    <w:div w:id="2035038109">
      <w:bodyDiv w:val="1"/>
      <w:marLeft w:val="0"/>
      <w:marRight w:val="0"/>
      <w:marTop w:val="0"/>
      <w:marBottom w:val="0"/>
      <w:divBdr>
        <w:top w:val="none" w:sz="0" w:space="0" w:color="auto"/>
        <w:left w:val="none" w:sz="0" w:space="0" w:color="auto"/>
        <w:bottom w:val="none" w:sz="0" w:space="0" w:color="auto"/>
        <w:right w:val="none" w:sz="0" w:space="0" w:color="auto"/>
      </w:divBdr>
    </w:div>
    <w:div w:id="2038506557">
      <w:bodyDiv w:val="1"/>
      <w:marLeft w:val="0"/>
      <w:marRight w:val="0"/>
      <w:marTop w:val="0"/>
      <w:marBottom w:val="0"/>
      <w:divBdr>
        <w:top w:val="none" w:sz="0" w:space="0" w:color="auto"/>
        <w:left w:val="none" w:sz="0" w:space="0" w:color="auto"/>
        <w:bottom w:val="none" w:sz="0" w:space="0" w:color="auto"/>
        <w:right w:val="none" w:sz="0" w:space="0" w:color="auto"/>
      </w:divBdr>
    </w:div>
    <w:div w:id="2038777767">
      <w:bodyDiv w:val="1"/>
      <w:marLeft w:val="0"/>
      <w:marRight w:val="0"/>
      <w:marTop w:val="0"/>
      <w:marBottom w:val="0"/>
      <w:divBdr>
        <w:top w:val="none" w:sz="0" w:space="0" w:color="auto"/>
        <w:left w:val="none" w:sz="0" w:space="0" w:color="auto"/>
        <w:bottom w:val="none" w:sz="0" w:space="0" w:color="auto"/>
        <w:right w:val="none" w:sz="0" w:space="0" w:color="auto"/>
      </w:divBdr>
    </w:div>
    <w:div w:id="2043941027">
      <w:bodyDiv w:val="1"/>
      <w:marLeft w:val="0"/>
      <w:marRight w:val="0"/>
      <w:marTop w:val="0"/>
      <w:marBottom w:val="0"/>
      <w:divBdr>
        <w:top w:val="none" w:sz="0" w:space="0" w:color="auto"/>
        <w:left w:val="none" w:sz="0" w:space="0" w:color="auto"/>
        <w:bottom w:val="none" w:sz="0" w:space="0" w:color="auto"/>
        <w:right w:val="none" w:sz="0" w:space="0" w:color="auto"/>
      </w:divBdr>
    </w:div>
    <w:div w:id="2046980842">
      <w:bodyDiv w:val="1"/>
      <w:marLeft w:val="0"/>
      <w:marRight w:val="0"/>
      <w:marTop w:val="0"/>
      <w:marBottom w:val="0"/>
      <w:divBdr>
        <w:top w:val="none" w:sz="0" w:space="0" w:color="auto"/>
        <w:left w:val="none" w:sz="0" w:space="0" w:color="auto"/>
        <w:bottom w:val="none" w:sz="0" w:space="0" w:color="auto"/>
        <w:right w:val="none" w:sz="0" w:space="0" w:color="auto"/>
      </w:divBdr>
    </w:div>
    <w:div w:id="2051227909">
      <w:bodyDiv w:val="1"/>
      <w:marLeft w:val="0"/>
      <w:marRight w:val="0"/>
      <w:marTop w:val="0"/>
      <w:marBottom w:val="0"/>
      <w:divBdr>
        <w:top w:val="none" w:sz="0" w:space="0" w:color="auto"/>
        <w:left w:val="none" w:sz="0" w:space="0" w:color="auto"/>
        <w:bottom w:val="none" w:sz="0" w:space="0" w:color="auto"/>
        <w:right w:val="none" w:sz="0" w:space="0" w:color="auto"/>
      </w:divBdr>
    </w:div>
    <w:div w:id="2058579542">
      <w:bodyDiv w:val="1"/>
      <w:marLeft w:val="0"/>
      <w:marRight w:val="0"/>
      <w:marTop w:val="0"/>
      <w:marBottom w:val="0"/>
      <w:divBdr>
        <w:top w:val="none" w:sz="0" w:space="0" w:color="auto"/>
        <w:left w:val="none" w:sz="0" w:space="0" w:color="auto"/>
        <w:bottom w:val="none" w:sz="0" w:space="0" w:color="auto"/>
        <w:right w:val="none" w:sz="0" w:space="0" w:color="auto"/>
      </w:divBdr>
    </w:div>
    <w:div w:id="2063476897">
      <w:bodyDiv w:val="1"/>
      <w:marLeft w:val="0"/>
      <w:marRight w:val="0"/>
      <w:marTop w:val="0"/>
      <w:marBottom w:val="0"/>
      <w:divBdr>
        <w:top w:val="none" w:sz="0" w:space="0" w:color="auto"/>
        <w:left w:val="none" w:sz="0" w:space="0" w:color="auto"/>
        <w:bottom w:val="none" w:sz="0" w:space="0" w:color="auto"/>
        <w:right w:val="none" w:sz="0" w:space="0" w:color="auto"/>
      </w:divBdr>
    </w:div>
    <w:div w:id="2064475721">
      <w:bodyDiv w:val="1"/>
      <w:marLeft w:val="0"/>
      <w:marRight w:val="0"/>
      <w:marTop w:val="0"/>
      <w:marBottom w:val="0"/>
      <w:divBdr>
        <w:top w:val="none" w:sz="0" w:space="0" w:color="auto"/>
        <w:left w:val="none" w:sz="0" w:space="0" w:color="auto"/>
        <w:bottom w:val="none" w:sz="0" w:space="0" w:color="auto"/>
        <w:right w:val="none" w:sz="0" w:space="0" w:color="auto"/>
      </w:divBdr>
    </w:div>
    <w:div w:id="207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51843526">
          <w:marLeft w:val="547"/>
          <w:marRight w:val="0"/>
          <w:marTop w:val="86"/>
          <w:marBottom w:val="0"/>
          <w:divBdr>
            <w:top w:val="none" w:sz="0" w:space="0" w:color="auto"/>
            <w:left w:val="none" w:sz="0" w:space="0" w:color="auto"/>
            <w:bottom w:val="none" w:sz="0" w:space="0" w:color="auto"/>
            <w:right w:val="none" w:sz="0" w:space="0" w:color="auto"/>
          </w:divBdr>
        </w:div>
        <w:div w:id="64693844">
          <w:marLeft w:val="547"/>
          <w:marRight w:val="0"/>
          <w:marTop w:val="86"/>
          <w:marBottom w:val="0"/>
          <w:divBdr>
            <w:top w:val="none" w:sz="0" w:space="0" w:color="auto"/>
            <w:left w:val="none" w:sz="0" w:space="0" w:color="auto"/>
            <w:bottom w:val="none" w:sz="0" w:space="0" w:color="auto"/>
            <w:right w:val="none" w:sz="0" w:space="0" w:color="auto"/>
          </w:divBdr>
        </w:div>
        <w:div w:id="338387139">
          <w:marLeft w:val="547"/>
          <w:marRight w:val="0"/>
          <w:marTop w:val="86"/>
          <w:marBottom w:val="0"/>
          <w:divBdr>
            <w:top w:val="none" w:sz="0" w:space="0" w:color="auto"/>
            <w:left w:val="none" w:sz="0" w:space="0" w:color="auto"/>
            <w:bottom w:val="none" w:sz="0" w:space="0" w:color="auto"/>
            <w:right w:val="none" w:sz="0" w:space="0" w:color="auto"/>
          </w:divBdr>
        </w:div>
        <w:div w:id="1241210518">
          <w:marLeft w:val="547"/>
          <w:marRight w:val="0"/>
          <w:marTop w:val="86"/>
          <w:marBottom w:val="0"/>
          <w:divBdr>
            <w:top w:val="none" w:sz="0" w:space="0" w:color="auto"/>
            <w:left w:val="none" w:sz="0" w:space="0" w:color="auto"/>
            <w:bottom w:val="none" w:sz="0" w:space="0" w:color="auto"/>
            <w:right w:val="none" w:sz="0" w:space="0" w:color="auto"/>
          </w:divBdr>
        </w:div>
        <w:div w:id="1302884824">
          <w:marLeft w:val="547"/>
          <w:marRight w:val="0"/>
          <w:marTop w:val="86"/>
          <w:marBottom w:val="0"/>
          <w:divBdr>
            <w:top w:val="none" w:sz="0" w:space="0" w:color="auto"/>
            <w:left w:val="none" w:sz="0" w:space="0" w:color="auto"/>
            <w:bottom w:val="none" w:sz="0" w:space="0" w:color="auto"/>
            <w:right w:val="none" w:sz="0" w:space="0" w:color="auto"/>
          </w:divBdr>
        </w:div>
        <w:div w:id="638656214">
          <w:marLeft w:val="547"/>
          <w:marRight w:val="0"/>
          <w:marTop w:val="86"/>
          <w:marBottom w:val="0"/>
          <w:divBdr>
            <w:top w:val="none" w:sz="0" w:space="0" w:color="auto"/>
            <w:left w:val="none" w:sz="0" w:space="0" w:color="auto"/>
            <w:bottom w:val="none" w:sz="0" w:space="0" w:color="auto"/>
            <w:right w:val="none" w:sz="0" w:space="0" w:color="auto"/>
          </w:divBdr>
        </w:div>
        <w:div w:id="1060589940">
          <w:marLeft w:val="547"/>
          <w:marRight w:val="0"/>
          <w:marTop w:val="86"/>
          <w:marBottom w:val="0"/>
          <w:divBdr>
            <w:top w:val="none" w:sz="0" w:space="0" w:color="auto"/>
            <w:left w:val="none" w:sz="0" w:space="0" w:color="auto"/>
            <w:bottom w:val="none" w:sz="0" w:space="0" w:color="auto"/>
            <w:right w:val="none" w:sz="0" w:space="0" w:color="auto"/>
          </w:divBdr>
        </w:div>
        <w:div w:id="678652834">
          <w:marLeft w:val="547"/>
          <w:marRight w:val="0"/>
          <w:marTop w:val="86"/>
          <w:marBottom w:val="0"/>
          <w:divBdr>
            <w:top w:val="none" w:sz="0" w:space="0" w:color="auto"/>
            <w:left w:val="none" w:sz="0" w:space="0" w:color="auto"/>
            <w:bottom w:val="none" w:sz="0" w:space="0" w:color="auto"/>
            <w:right w:val="none" w:sz="0" w:space="0" w:color="auto"/>
          </w:divBdr>
        </w:div>
        <w:div w:id="328795802">
          <w:marLeft w:val="547"/>
          <w:marRight w:val="0"/>
          <w:marTop w:val="86"/>
          <w:marBottom w:val="0"/>
          <w:divBdr>
            <w:top w:val="none" w:sz="0" w:space="0" w:color="auto"/>
            <w:left w:val="none" w:sz="0" w:space="0" w:color="auto"/>
            <w:bottom w:val="none" w:sz="0" w:space="0" w:color="auto"/>
            <w:right w:val="none" w:sz="0" w:space="0" w:color="auto"/>
          </w:divBdr>
        </w:div>
        <w:div w:id="604924241">
          <w:marLeft w:val="547"/>
          <w:marRight w:val="0"/>
          <w:marTop w:val="86"/>
          <w:marBottom w:val="0"/>
          <w:divBdr>
            <w:top w:val="none" w:sz="0" w:space="0" w:color="auto"/>
            <w:left w:val="none" w:sz="0" w:space="0" w:color="auto"/>
            <w:bottom w:val="none" w:sz="0" w:space="0" w:color="auto"/>
            <w:right w:val="none" w:sz="0" w:space="0" w:color="auto"/>
          </w:divBdr>
        </w:div>
      </w:divsChild>
    </w:div>
    <w:div w:id="2081247468">
      <w:bodyDiv w:val="1"/>
      <w:marLeft w:val="0"/>
      <w:marRight w:val="0"/>
      <w:marTop w:val="0"/>
      <w:marBottom w:val="0"/>
      <w:divBdr>
        <w:top w:val="none" w:sz="0" w:space="0" w:color="auto"/>
        <w:left w:val="none" w:sz="0" w:space="0" w:color="auto"/>
        <w:bottom w:val="none" w:sz="0" w:space="0" w:color="auto"/>
        <w:right w:val="none" w:sz="0" w:space="0" w:color="auto"/>
      </w:divBdr>
    </w:div>
    <w:div w:id="2101370297">
      <w:bodyDiv w:val="1"/>
      <w:marLeft w:val="0"/>
      <w:marRight w:val="0"/>
      <w:marTop w:val="0"/>
      <w:marBottom w:val="0"/>
      <w:divBdr>
        <w:top w:val="none" w:sz="0" w:space="0" w:color="auto"/>
        <w:left w:val="none" w:sz="0" w:space="0" w:color="auto"/>
        <w:bottom w:val="none" w:sz="0" w:space="0" w:color="auto"/>
        <w:right w:val="none" w:sz="0" w:space="0" w:color="auto"/>
      </w:divBdr>
    </w:div>
    <w:div w:id="2107800996">
      <w:bodyDiv w:val="1"/>
      <w:marLeft w:val="0"/>
      <w:marRight w:val="0"/>
      <w:marTop w:val="0"/>
      <w:marBottom w:val="0"/>
      <w:divBdr>
        <w:top w:val="none" w:sz="0" w:space="0" w:color="auto"/>
        <w:left w:val="none" w:sz="0" w:space="0" w:color="auto"/>
        <w:bottom w:val="none" w:sz="0" w:space="0" w:color="auto"/>
        <w:right w:val="none" w:sz="0" w:space="0" w:color="auto"/>
      </w:divBdr>
    </w:div>
    <w:div w:id="2108768068">
      <w:bodyDiv w:val="1"/>
      <w:marLeft w:val="0"/>
      <w:marRight w:val="0"/>
      <w:marTop w:val="0"/>
      <w:marBottom w:val="0"/>
      <w:divBdr>
        <w:top w:val="none" w:sz="0" w:space="0" w:color="auto"/>
        <w:left w:val="none" w:sz="0" w:space="0" w:color="auto"/>
        <w:bottom w:val="none" w:sz="0" w:space="0" w:color="auto"/>
        <w:right w:val="none" w:sz="0" w:space="0" w:color="auto"/>
      </w:divBdr>
    </w:div>
    <w:div w:id="2111006428">
      <w:bodyDiv w:val="1"/>
      <w:marLeft w:val="0"/>
      <w:marRight w:val="0"/>
      <w:marTop w:val="0"/>
      <w:marBottom w:val="0"/>
      <w:divBdr>
        <w:top w:val="none" w:sz="0" w:space="0" w:color="auto"/>
        <w:left w:val="none" w:sz="0" w:space="0" w:color="auto"/>
        <w:bottom w:val="none" w:sz="0" w:space="0" w:color="auto"/>
        <w:right w:val="none" w:sz="0" w:space="0" w:color="auto"/>
      </w:divBdr>
    </w:div>
    <w:div w:id="2111117889">
      <w:bodyDiv w:val="1"/>
      <w:marLeft w:val="0"/>
      <w:marRight w:val="0"/>
      <w:marTop w:val="0"/>
      <w:marBottom w:val="0"/>
      <w:divBdr>
        <w:top w:val="none" w:sz="0" w:space="0" w:color="auto"/>
        <w:left w:val="none" w:sz="0" w:space="0" w:color="auto"/>
        <w:bottom w:val="none" w:sz="0" w:space="0" w:color="auto"/>
        <w:right w:val="none" w:sz="0" w:space="0" w:color="auto"/>
      </w:divBdr>
      <w:divsChild>
        <w:div w:id="717975786">
          <w:marLeft w:val="288"/>
          <w:marRight w:val="0"/>
          <w:marTop w:val="80"/>
          <w:marBottom w:val="0"/>
          <w:divBdr>
            <w:top w:val="none" w:sz="0" w:space="0" w:color="auto"/>
            <w:left w:val="none" w:sz="0" w:space="0" w:color="auto"/>
            <w:bottom w:val="none" w:sz="0" w:space="0" w:color="auto"/>
            <w:right w:val="none" w:sz="0" w:space="0" w:color="auto"/>
          </w:divBdr>
        </w:div>
        <w:div w:id="439885147">
          <w:marLeft w:val="288"/>
          <w:marRight w:val="0"/>
          <w:marTop w:val="80"/>
          <w:marBottom w:val="0"/>
          <w:divBdr>
            <w:top w:val="none" w:sz="0" w:space="0" w:color="auto"/>
            <w:left w:val="none" w:sz="0" w:space="0" w:color="auto"/>
            <w:bottom w:val="none" w:sz="0" w:space="0" w:color="auto"/>
            <w:right w:val="none" w:sz="0" w:space="0" w:color="auto"/>
          </w:divBdr>
        </w:div>
        <w:div w:id="1547640686">
          <w:marLeft w:val="288"/>
          <w:marRight w:val="0"/>
          <w:marTop w:val="80"/>
          <w:marBottom w:val="0"/>
          <w:divBdr>
            <w:top w:val="none" w:sz="0" w:space="0" w:color="auto"/>
            <w:left w:val="none" w:sz="0" w:space="0" w:color="auto"/>
            <w:bottom w:val="none" w:sz="0" w:space="0" w:color="auto"/>
            <w:right w:val="none" w:sz="0" w:space="0" w:color="auto"/>
          </w:divBdr>
        </w:div>
        <w:div w:id="369886683">
          <w:marLeft w:val="288"/>
          <w:marRight w:val="0"/>
          <w:marTop w:val="80"/>
          <w:marBottom w:val="0"/>
          <w:divBdr>
            <w:top w:val="none" w:sz="0" w:space="0" w:color="auto"/>
            <w:left w:val="none" w:sz="0" w:space="0" w:color="auto"/>
            <w:bottom w:val="none" w:sz="0" w:space="0" w:color="auto"/>
            <w:right w:val="none" w:sz="0" w:space="0" w:color="auto"/>
          </w:divBdr>
        </w:div>
        <w:div w:id="703601977">
          <w:marLeft w:val="288"/>
          <w:marRight w:val="0"/>
          <w:marTop w:val="80"/>
          <w:marBottom w:val="0"/>
          <w:divBdr>
            <w:top w:val="none" w:sz="0" w:space="0" w:color="auto"/>
            <w:left w:val="none" w:sz="0" w:space="0" w:color="auto"/>
            <w:bottom w:val="none" w:sz="0" w:space="0" w:color="auto"/>
            <w:right w:val="none" w:sz="0" w:space="0" w:color="auto"/>
          </w:divBdr>
        </w:div>
        <w:div w:id="2012565096">
          <w:marLeft w:val="288"/>
          <w:marRight w:val="0"/>
          <w:marTop w:val="80"/>
          <w:marBottom w:val="0"/>
          <w:divBdr>
            <w:top w:val="none" w:sz="0" w:space="0" w:color="auto"/>
            <w:left w:val="none" w:sz="0" w:space="0" w:color="auto"/>
            <w:bottom w:val="none" w:sz="0" w:space="0" w:color="auto"/>
            <w:right w:val="none" w:sz="0" w:space="0" w:color="auto"/>
          </w:divBdr>
        </w:div>
      </w:divsChild>
    </w:div>
    <w:div w:id="2111197670">
      <w:bodyDiv w:val="1"/>
      <w:marLeft w:val="0"/>
      <w:marRight w:val="0"/>
      <w:marTop w:val="0"/>
      <w:marBottom w:val="0"/>
      <w:divBdr>
        <w:top w:val="none" w:sz="0" w:space="0" w:color="auto"/>
        <w:left w:val="none" w:sz="0" w:space="0" w:color="auto"/>
        <w:bottom w:val="none" w:sz="0" w:space="0" w:color="auto"/>
        <w:right w:val="none" w:sz="0" w:space="0" w:color="auto"/>
      </w:divBdr>
    </w:div>
    <w:div w:id="2114205838">
      <w:bodyDiv w:val="1"/>
      <w:marLeft w:val="0"/>
      <w:marRight w:val="0"/>
      <w:marTop w:val="0"/>
      <w:marBottom w:val="0"/>
      <w:divBdr>
        <w:top w:val="none" w:sz="0" w:space="0" w:color="auto"/>
        <w:left w:val="none" w:sz="0" w:space="0" w:color="auto"/>
        <w:bottom w:val="none" w:sz="0" w:space="0" w:color="auto"/>
        <w:right w:val="none" w:sz="0" w:space="0" w:color="auto"/>
      </w:divBdr>
    </w:div>
    <w:div w:id="2125954320">
      <w:bodyDiv w:val="1"/>
      <w:marLeft w:val="0"/>
      <w:marRight w:val="0"/>
      <w:marTop w:val="0"/>
      <w:marBottom w:val="0"/>
      <w:divBdr>
        <w:top w:val="none" w:sz="0" w:space="0" w:color="auto"/>
        <w:left w:val="none" w:sz="0" w:space="0" w:color="auto"/>
        <w:bottom w:val="none" w:sz="0" w:space="0" w:color="auto"/>
        <w:right w:val="none" w:sz="0" w:space="0" w:color="auto"/>
      </w:divBdr>
      <w:divsChild>
        <w:div w:id="1014189118">
          <w:marLeft w:val="480"/>
          <w:marRight w:val="0"/>
          <w:marTop w:val="0"/>
          <w:marBottom w:val="0"/>
          <w:divBdr>
            <w:top w:val="none" w:sz="0" w:space="0" w:color="auto"/>
            <w:left w:val="none" w:sz="0" w:space="0" w:color="auto"/>
            <w:bottom w:val="none" w:sz="0" w:space="0" w:color="auto"/>
            <w:right w:val="none" w:sz="0" w:space="0" w:color="auto"/>
          </w:divBdr>
          <w:divsChild>
            <w:div w:id="9852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034">
      <w:bodyDiv w:val="1"/>
      <w:marLeft w:val="0"/>
      <w:marRight w:val="0"/>
      <w:marTop w:val="0"/>
      <w:marBottom w:val="0"/>
      <w:divBdr>
        <w:top w:val="none" w:sz="0" w:space="0" w:color="auto"/>
        <w:left w:val="none" w:sz="0" w:space="0" w:color="auto"/>
        <w:bottom w:val="none" w:sz="0" w:space="0" w:color="auto"/>
        <w:right w:val="none" w:sz="0" w:space="0" w:color="auto"/>
      </w:divBdr>
    </w:div>
    <w:div w:id="2138986108">
      <w:bodyDiv w:val="1"/>
      <w:marLeft w:val="0"/>
      <w:marRight w:val="0"/>
      <w:marTop w:val="0"/>
      <w:marBottom w:val="0"/>
      <w:divBdr>
        <w:top w:val="none" w:sz="0" w:space="0" w:color="auto"/>
        <w:left w:val="none" w:sz="0" w:space="0" w:color="auto"/>
        <w:bottom w:val="none" w:sz="0" w:space="0" w:color="auto"/>
        <w:right w:val="none" w:sz="0" w:space="0" w:color="auto"/>
      </w:divBdr>
    </w:div>
    <w:div w:id="2145073358">
      <w:bodyDiv w:val="1"/>
      <w:marLeft w:val="0"/>
      <w:marRight w:val="0"/>
      <w:marTop w:val="0"/>
      <w:marBottom w:val="0"/>
      <w:divBdr>
        <w:top w:val="none" w:sz="0" w:space="0" w:color="auto"/>
        <w:left w:val="none" w:sz="0" w:space="0" w:color="auto"/>
        <w:bottom w:val="none" w:sz="0" w:space="0" w:color="auto"/>
        <w:right w:val="none" w:sz="0" w:space="0" w:color="auto"/>
      </w:divBdr>
    </w:div>
    <w:div w:id="214711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hyperlink" Target="https://www.wfp.org/emergency-telecommunications-cluster" TargetMode="External"/><Relationship Id="rId39" Type="http://schemas.openxmlformats.org/officeDocument/2006/relationships/image" Target="media/image16.png"/><Relationship Id="rId21" Type="http://schemas.openxmlformats.org/officeDocument/2006/relationships/image" Target="media/image1.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preparecenter.org/site/ifrcalerthubinitiative/call-to-action-on-emergency-alerting/"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wfp.org/logistics-cluster"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5.xml"/><Relationship Id="rId5" Type="http://schemas.openxmlformats.org/officeDocument/2006/relationships/numbering" Target="numbering.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jp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hyperlink" Target="https://fscluster.org/"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microsoft.com/office/2018/08/relationships/commentsExtensible" Target="commentsExtensible.xml"/><Relationship Id="rId41" Type="http://schemas.openxmlformats.org/officeDocument/2006/relationships/image" Target="media/image18.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3"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hyperlink" Target="about:blank" TargetMode="External"/><Relationship Id="rId2" Type="http://schemas.openxmlformats.org/officeDocument/2006/relationships/hyperlink" Target="about:blank" TargetMode="External"/><Relationship Id="rId16" Type="http://schemas.openxmlformats.org/officeDocument/2006/relationships/hyperlink" Target="https://www.etcluster.org/sites/default/files/documents/ETC%20CAR%20SitRep%2037_July%202020.pdf"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hyperlink" Target="about:blank" TargetMode="External"/><Relationship Id="rId15" Type="http://schemas.openxmlformats.org/officeDocument/2006/relationships/hyperlink" Target="https://academy.itu.int/index.php/training-courses/full-catalogue/practical-disaster-response-how-develop-table-top-simulation-exercises-ttx" TargetMode="External"/><Relationship Id="rId10" Type="http://schemas.openxmlformats.org/officeDocument/2006/relationships/hyperlink" Target="about:blank" TargetMode="External"/><Relationship Id="rId4" Type="http://schemas.openxmlformats.org/officeDocument/2006/relationships/hyperlink" Target="http://docs.oasis-open.org/emergency/cap/v1.2/CAP-v1.2.html" TargetMode="External"/><Relationship Id="rId9" Type="http://schemas.openxmlformats.org/officeDocument/2006/relationships/hyperlink" Target="about:blank" TargetMode="External"/><Relationship Id="rId14" Type="http://schemas.openxmlformats.org/officeDocument/2006/relationships/hyperlink" Target="https://www.itu.int/en/ITU-D/Emergency-Telecommunications/Documents/Publications/2020/TTX_Guid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{1B2E8B7C-1113-4DBF-A2DA-FE3F386AC1A4}</b:Guid>
    <b:URL>https://www.adb.org/projects/country/fij/fund/Asia%20Pacific%20Disaster%20Response%20Fund</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75DF27520A7BF4FBF7113BC8619B344" ma:contentTypeVersion="18" ma:contentTypeDescription="Create a new document." ma:contentTypeScope="" ma:versionID="7521ce2a17389fe2f785bc52bb4de5bc">
  <xsd:schema xmlns:xsd="http://www.w3.org/2001/XMLSchema" xmlns:xs="http://www.w3.org/2001/XMLSchema" xmlns:p="http://schemas.microsoft.com/office/2006/metadata/properties" xmlns:ns2="75ce8940-41a8-40d0-b675-1a93eef7624f" xmlns:ns3="0fcf9b17-d146-4df4-b845-47a1153eb7c1" targetNamespace="http://schemas.microsoft.com/office/2006/metadata/properties" ma:root="true" ma:fieldsID="7db78591b89e1cfefda81ba43f8ab873" ns2:_="" ns3:_="">
    <xsd:import namespace="75ce8940-41a8-40d0-b675-1a93eef7624f"/>
    <xsd:import namespace="0fcf9b17-d146-4df4-b845-47a1153eb7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ce8940-41a8-40d0-b675-1a93eef76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cf9b17-d146-4df4-b845-47a1153eb7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d9e86fe-4ad3-4dab-aa89-e39d30bcb0c0}" ma:internalName="TaxCatchAll" ma:showField="CatchAllData" ma:web="0fcf9b17-d146-4df4-b845-47a1153eb7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ce8940-41a8-40d0-b675-1a93eef7624f">
      <Terms xmlns="http://schemas.microsoft.com/office/infopath/2007/PartnerControls"/>
    </lcf76f155ced4ddcb4097134ff3c332f>
    <TaxCatchAll xmlns="0fcf9b17-d146-4df4-b845-47a1153eb7c1" xsi:nil="true"/>
  </documentManagement>
</p:properties>
</file>

<file path=customXml/itemProps1.xml><?xml version="1.0" encoding="utf-8"?>
<ds:datastoreItem xmlns:ds="http://schemas.openxmlformats.org/officeDocument/2006/customXml" ds:itemID="{D258975F-AFF3-487E-A267-79260D0FC7C2}">
  <ds:schemaRefs>
    <ds:schemaRef ds:uri="http://schemas.microsoft.com/sharepoint/v3/contenttype/forms"/>
  </ds:schemaRefs>
</ds:datastoreItem>
</file>

<file path=customXml/itemProps2.xml><?xml version="1.0" encoding="utf-8"?>
<ds:datastoreItem xmlns:ds="http://schemas.openxmlformats.org/officeDocument/2006/customXml" ds:itemID="{E8FCCA2E-ABA2-46A7-ADB1-ABCFC95EF246}">
  <ds:schemaRefs>
    <ds:schemaRef ds:uri="http://schemas.openxmlformats.org/officeDocument/2006/bibliography"/>
  </ds:schemaRefs>
</ds:datastoreItem>
</file>

<file path=customXml/itemProps3.xml><?xml version="1.0" encoding="utf-8"?>
<ds:datastoreItem xmlns:ds="http://schemas.openxmlformats.org/officeDocument/2006/customXml" ds:itemID="{C43CDD3A-73DF-4A4B-A2EA-B9807D8C0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ce8940-41a8-40d0-b675-1a93eef7624f"/>
    <ds:schemaRef ds:uri="0fcf9b17-d146-4df4-b845-47a1153eb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6672A4-5E48-45BB-9479-5D77EFF9C9B6}">
  <ds:schemaRefs>
    <ds:schemaRef ds:uri="http://schemas.microsoft.com/office/2006/metadata/properties"/>
    <ds:schemaRef ds:uri="http://schemas.microsoft.com/office/infopath/2007/PartnerControls"/>
    <ds:schemaRef ds:uri="75ce8940-41a8-40d0-b675-1a93eef7624f"/>
    <ds:schemaRef ds:uri="0fcf9b17-d146-4df4-b845-47a1153eb7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30684</Words>
  <Characters>174903</Characters>
  <Application>Microsoft Office Word</Application>
  <DocSecurity>0</DocSecurity>
  <Lines>1457</Lines>
  <Paragraphs>410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205177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Serign Modou Bah</cp:lastModifiedBy>
  <cp:revision>2</cp:revision>
  <cp:lastPrinted>2023-02-27T03:51:00Z</cp:lastPrinted>
  <dcterms:created xsi:type="dcterms:W3CDTF">2024-11-11T10:26:00Z</dcterms:created>
  <dcterms:modified xsi:type="dcterms:W3CDTF">2024-11-11T10:26:00Z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3a108f-898d-4589-9ebc-7ee3b46df9b8_Enabled">
    <vt:lpwstr>true</vt:lpwstr>
  </property>
  <property fmtid="{D5CDD505-2E9C-101B-9397-08002B2CF9AE}" pid="3" name="MSIP_Label_2a3a108f-898d-4589-9ebc-7ee3b46df9b8_SetDate">
    <vt:lpwstr>2021-02-22T08:03:57Z</vt:lpwstr>
  </property>
  <property fmtid="{D5CDD505-2E9C-101B-9397-08002B2CF9AE}" pid="4" name="MSIP_Label_2a3a108f-898d-4589-9ebc-7ee3b46df9b8_Method">
    <vt:lpwstr>Standard</vt:lpwstr>
  </property>
  <property fmtid="{D5CDD505-2E9C-101B-9397-08002B2CF9AE}" pid="5" name="MSIP_Label_2a3a108f-898d-4589-9ebc-7ee3b46df9b8_Name">
    <vt:lpwstr>Official use only</vt:lpwstr>
  </property>
  <property fmtid="{D5CDD505-2E9C-101B-9397-08002B2CF9AE}" pid="6" name="MSIP_Label_2a3a108f-898d-4589-9ebc-7ee3b46df9b8_SiteId">
    <vt:lpwstr>462ad9ae-d7d9-4206-b874-71b1e079776f</vt:lpwstr>
  </property>
  <property fmtid="{D5CDD505-2E9C-101B-9397-08002B2CF9AE}" pid="7" name="MSIP_Label_2a3a108f-898d-4589-9ebc-7ee3b46df9b8_ActionId">
    <vt:lpwstr>8ddedf1b-c06c-420e-903a-0881ac5aadac</vt:lpwstr>
  </property>
  <property fmtid="{D5CDD505-2E9C-101B-9397-08002B2CF9AE}" pid="8" name="MSIP_Label_2a3a108f-898d-4589-9ebc-7ee3b46df9b8_ContentBits">
    <vt:lpwstr>0</vt:lpwstr>
  </property>
  <property fmtid="{D5CDD505-2E9C-101B-9397-08002B2CF9AE}" pid="9" name="ContentTypeId">
    <vt:lpwstr>0x010100775DF27520A7BF4FBF7113BC8619B344</vt:lpwstr>
  </property>
  <property fmtid="{D5CDD505-2E9C-101B-9397-08002B2CF9AE}" pid="10" name="ZOTERO_PREF_1">
    <vt:lpwstr>&lt;data data-version="3" zotero-version="6.0.36"&gt;&lt;session id="doYUVaO3"/&gt;&lt;style id="http://www.zotero.org/styles/australian-guide-to-legal-citation" hasBibliography="1" bibliographyStyleHasBeenSet="1"/&gt;&lt;prefs&gt;&lt;pref name="fieldType" value="Field"/&gt;&lt;pref name</vt:lpwstr>
  </property>
  <property fmtid="{D5CDD505-2E9C-101B-9397-08002B2CF9AE}" pid="11" name="ZOTERO_PREF_2">
    <vt:lpwstr>="automaticJournalAbbreviations" value="true"/&gt;&lt;pref name="noteType" value="1"/&gt;&lt;pref name="dontAskDelayCitationUpdates" value="true"/&gt;&lt;/prefs&gt;&lt;/data&gt;</vt:lpwstr>
  </property>
  <property fmtid="{D5CDD505-2E9C-101B-9397-08002B2CF9AE}" pid="12" name="MediaServiceImageTags">
    <vt:lpwstr/>
  </property>
</Properties>
</file>