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120" w:lineRule="auto"/>
        <w:ind w:right="-421"/>
        <w:jc w:val="both"/>
        <w:rPr>
          <w:b w:val="1"/>
          <w:color w:val="0070c0"/>
          <w:sz w:val="24"/>
          <w:szCs w:val="24"/>
        </w:rPr>
      </w:pPr>
      <w:bookmarkStart w:colFirst="0" w:colLast="0" w:name="_gjdgxs" w:id="0"/>
      <w:bookmarkEnd w:id="0"/>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-126681</wp:posOffset>
                </wp:positionH>
                <wp:positionV relativeFrom="margin">
                  <wp:posOffset>2749324</wp:posOffset>
                </wp:positionV>
                <wp:extent cx="7781925" cy="1655445"/>
                <wp:effectExtent b="0" l="0" r="0" t="0"/>
                <wp:wrapNone/>
                <wp:docPr id="3" name=""/>
                <a:graphic>
                  <a:graphicData uri="http://schemas.microsoft.com/office/word/2010/wordprocessingShape">
                    <wps:wsp>
                      <wps:cNvSpPr/>
                      <wps:cNvPr id="4" name="Shape 4"/>
                      <wps:spPr>
                        <a:xfrm>
                          <a:off x="1459800" y="2957040"/>
                          <a:ext cx="7772400" cy="1645920"/>
                        </a:xfrm>
                        <a:prstGeom prst="rect">
                          <a:avLst/>
                        </a:prstGeom>
                        <a:solidFill>
                          <a:srgbClr val="0070C0"/>
                        </a:solidFill>
                        <a:ln>
                          <a:noFill/>
                        </a:ln>
                      </wps:spPr>
                      <wps:txbx>
                        <w:txbxContent>
                          <w:p w:rsidR="00000000" w:rsidDel="00000000" w:rsidP="00000000" w:rsidRDefault="00000000" w:rsidRPr="00000000">
                            <w:pPr>
                              <w:spacing w:after="120" w:before="120" w:line="240"/>
                              <w:ind w:left="450" w:right="330" w:firstLine="450"/>
                              <w:jc w:val="center"/>
                              <w:textDirection w:val="btLr"/>
                            </w:pPr>
                            <w:r w:rsidDel="00000000" w:rsidR="00000000" w:rsidRPr="00000000">
                              <w:rPr>
                                <w:rFonts w:ascii="Arial" w:cs="Arial" w:eastAsia="Arial" w:hAnsi="Arial"/>
                                <w:b w:val="1"/>
                                <w:i w:val="0"/>
                                <w:smallCaps w:val="0"/>
                                <w:strike w:val="0"/>
                                <w:color w:val="ffffff"/>
                                <w:sz w:val="56"/>
                                <w:vertAlign w:val="baseline"/>
                              </w:rPr>
                              <w:t xml:space="preserve">Institutional Framework for Implementation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-126681</wp:posOffset>
                </wp:positionH>
                <wp:positionV relativeFrom="margin">
                  <wp:posOffset>2749324</wp:posOffset>
                </wp:positionV>
                <wp:extent cx="7781925" cy="165544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81925" cy="1655445"/>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-558799</wp:posOffset>
                </wp:positionH>
                <wp:positionV relativeFrom="paragraph">
                  <wp:posOffset>7658100</wp:posOffset>
                </wp:positionV>
                <wp:extent cx="3818164" cy="1543050"/>
                <wp:effectExtent b="0" l="0" r="0" t="0"/>
                <wp:wrapNone/>
                <wp:docPr id="1" name=""/>
                <a:graphic>
                  <a:graphicData uri="http://schemas.microsoft.com/office/word/2010/wordprocessingShape">
                    <wps:wsp>
                      <wps:cNvSpPr/>
                      <wps:cNvPr id="2" name="Shape 2"/>
                      <wps:spPr>
                        <a:xfrm>
                          <a:off x="3446443" y="3018000"/>
                          <a:ext cx="3799114" cy="1524000"/>
                        </a:xfrm>
                        <a:prstGeom prst="roundRect">
                          <a:avLst>
                            <a:gd fmla="val 16667" name="adj"/>
                          </a:avLst>
                        </a:prstGeom>
                        <a:noFill/>
                        <a:ln cap="flat" cmpd="sng" w="19050">
                          <a:solidFill>
                            <a:srgbClr val="A5A5A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Submitted By:</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Prof. Salma Abbasi, PhD, FRGS, FCMI, FRSA</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Chairperson and CEO, eWorldwide Group (eWWG)</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Tel:</w:t>
                            </w:r>
                            <w:r w:rsidDel="00000000" w:rsidR="00000000" w:rsidRPr="00000000">
                              <w:rPr>
                                <w:rFonts w:ascii="Arial" w:cs="Arial" w:eastAsia="Arial" w:hAnsi="Arial"/>
                                <w:b w:val="0"/>
                                <w:i w:val="0"/>
                                <w:smallCaps w:val="0"/>
                                <w:strike w:val="0"/>
                                <w:color w:val="000000"/>
                                <w:sz w:val="22"/>
                                <w:vertAlign w:val="baseline"/>
                              </w:rPr>
                              <w:t xml:space="preserve"> +44 780 327 9000</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Email:</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563c1"/>
                                <w:sz w:val="22"/>
                                <w:u w:val="single"/>
                                <w:vertAlign w:val="baseline"/>
                              </w:rPr>
                              <w:t xml:space="preserve">salma@e-wwg.com</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-558799</wp:posOffset>
                </wp:positionH>
                <wp:positionV relativeFrom="paragraph">
                  <wp:posOffset>7658100</wp:posOffset>
                </wp:positionV>
                <wp:extent cx="3818164" cy="15430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8164"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-736599</wp:posOffset>
                </wp:positionH>
                <wp:positionV relativeFrom="paragraph">
                  <wp:posOffset>4864100</wp:posOffset>
                </wp:positionV>
                <wp:extent cx="7195820" cy="1732280"/>
                <wp:effectExtent b="0" l="0" r="0" t="0"/>
                <wp:wrapNone/>
                <wp:docPr id="5" name=""/>
                <a:graphic>
                  <a:graphicData uri="http://schemas.microsoft.com/office/word/2010/wordprocessingShape">
                    <wps:wsp>
                      <wps:cNvSpPr/>
                      <wps:cNvPr id="6" name="Shape 6"/>
                      <wps:spPr>
                        <a:xfrm>
                          <a:off x="1754440" y="2920210"/>
                          <a:ext cx="7183120" cy="1719580"/>
                        </a:xfrm>
                        <a:prstGeom prst="roundRect">
                          <a:avLst>
                            <a:gd fmla="val 16667" name="adj"/>
                          </a:avLst>
                        </a:prstGeom>
                        <a:solidFill>
                          <a:srgbClr val="F2F2F2"/>
                        </a:solidFill>
                        <a:ln cap="flat" cmpd="sng" w="12700">
                          <a:solidFill>
                            <a:srgbClr val="A5A5A5"/>
                          </a:solidFill>
                          <a:prstDash val="solid"/>
                          <a:round/>
                          <a:headEnd len="sm" w="sm" type="none"/>
                          <a:tailEnd len="sm" w="sm" type="none"/>
                        </a:ln>
                      </wps:spPr>
                      <wps:txbx>
                        <w:txbxContent>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Country:		 </w:t>
                            </w:r>
                            <w:r w:rsidDel="00000000" w:rsidR="00000000" w:rsidRPr="00000000">
                              <w:rPr>
                                <w:rFonts w:ascii="Arial" w:cs="Arial" w:eastAsia="Arial" w:hAnsi="Arial"/>
                                <w:b w:val="0"/>
                                <w:i w:val="0"/>
                                <w:smallCaps w:val="0"/>
                                <w:strike w:val="0"/>
                                <w:color w:val="000000"/>
                                <w:sz w:val="32"/>
                                <w:vertAlign w:val="baseline"/>
                              </w:rPr>
                              <w:t xml:space="preserve">The Republic of The Gambia</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Name:	 </w:t>
                            </w:r>
                            <w:r w:rsidDel="00000000" w:rsidR="00000000" w:rsidRPr="00000000">
                              <w:rPr>
                                <w:rFonts w:ascii="Arial" w:cs="Arial" w:eastAsia="Arial" w:hAnsi="Arial"/>
                                <w:b w:val="0"/>
                                <w:i w:val="0"/>
                                <w:smallCaps w:val="0"/>
                                <w:strike w:val="0"/>
                                <w:color w:val="000000"/>
                                <w:sz w:val="32"/>
                                <w:vertAlign w:val="baseline"/>
                              </w:rPr>
                              <w:t xml:space="preserve">Western Africa Regional Digital Integration</w:t>
                            </w:r>
                            <w:r w:rsidDel="00000000" w:rsidR="00000000" w:rsidRPr="00000000">
                              <w:rPr>
                                <w:rFonts w:ascii="Arial" w:cs="Arial" w:eastAsia="Arial" w:hAnsi="Arial"/>
                                <w:b w:val="1"/>
                                <w:i w:val="0"/>
                                <w:smallCaps w:val="0"/>
                                <w:strike w:val="0"/>
                                <w:color w:val="000000"/>
                                <w:sz w:val="32"/>
                                <w:vertAlign w:val="baseline"/>
                              </w:rPr>
                              <w:t xml:space="preserve"> </w:t>
                            </w:r>
                            <w:r w:rsidDel="00000000" w:rsidR="00000000" w:rsidRPr="00000000">
                              <w:rPr>
                                <w:rFonts w:ascii="Arial" w:cs="Arial" w:eastAsia="Arial" w:hAnsi="Arial"/>
                                <w:b w:val="0"/>
                                <w:i w:val="0"/>
                                <w:smallCaps w:val="0"/>
                                <w:strike w:val="0"/>
                                <w:color w:val="000000"/>
                                <w:sz w:val="32"/>
                                <w:vertAlign w:val="baseline"/>
                              </w:rPr>
                              <w:t xml:space="preserve">Program</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ID:	 </w:t>
                            </w:r>
                            <w:r w:rsidDel="00000000" w:rsidR="00000000" w:rsidRPr="00000000">
                              <w:rPr>
                                <w:rFonts w:ascii="Arial" w:cs="Arial" w:eastAsia="Arial" w:hAnsi="Arial"/>
                                <w:b w:val="0"/>
                                <w:i w:val="0"/>
                                <w:smallCaps w:val="0"/>
                                <w:strike w:val="0"/>
                                <w:color w:val="000000"/>
                                <w:sz w:val="32"/>
                                <w:vertAlign w:val="baseline"/>
                              </w:rPr>
                              <w:t xml:space="preserve">176932</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Contract Ref:	  </w:t>
                            </w:r>
                            <w:r w:rsidDel="00000000" w:rsidR="00000000" w:rsidRPr="00000000">
                              <w:rPr>
                                <w:rFonts w:ascii="Arial" w:cs="Arial" w:eastAsia="Arial" w:hAnsi="Arial"/>
                                <w:b w:val="0"/>
                                <w:i w:val="0"/>
                                <w:smallCaps w:val="0"/>
                                <w:strike w:val="0"/>
                                <w:color w:val="000000"/>
                                <w:sz w:val="32"/>
                                <w:vertAlign w:val="baseline"/>
                              </w:rPr>
                              <w:t xml:space="preserve">WARDIP/C3.7/2024/ IC-IND007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120" w:before="0" w:line="240"/>
                              <w:ind w:left="720" w:right="-225"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333333"/>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-736599</wp:posOffset>
                </wp:positionH>
                <wp:positionV relativeFrom="paragraph">
                  <wp:posOffset>4864100</wp:posOffset>
                </wp:positionV>
                <wp:extent cx="7195820" cy="173228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195820" cy="17322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2089241</wp:posOffset>
            </wp:positionH>
            <wp:positionV relativeFrom="paragraph">
              <wp:posOffset>8625750</wp:posOffset>
            </wp:positionV>
            <wp:extent cx="880745" cy="577850"/>
            <wp:effectExtent b="0" l="0" r="0" t="0"/>
            <wp:wrapNone/>
            <wp:docPr descr="C:\Users\Ahsan Raza Abbasi\Desktop\June 2018\Website images\web\wp-content\uploads\2015\07\E-worldwide-E-world-wide-ewwg-Logo.jpg" id="6" name="image4.jpg"/>
            <a:graphic>
              <a:graphicData uri="http://schemas.openxmlformats.org/drawingml/2006/picture">
                <pic:pic>
                  <pic:nvPicPr>
                    <pic:cNvPr descr="C:\Users\Ahsan Raza Abbasi\Desktop\June 2018\Website images\web\wp-content\uploads\2015\07\E-worldwide-E-world-wide-ewwg-Logo.jpg" id="0" name="image4.jpg"/>
                    <pic:cNvPicPr preferRelativeResize="0"/>
                  </pic:nvPicPr>
                  <pic:blipFill>
                    <a:blip r:embed="rId9"/>
                    <a:srcRect b="0" l="0" r="0" t="0"/>
                    <a:stretch>
                      <a:fillRect/>
                    </a:stretch>
                  </pic:blipFill>
                  <pic:spPr>
                    <a:xfrm>
                      <a:off x="0" y="0"/>
                      <a:ext cx="880745" cy="577850"/>
                    </a:xfrm>
                    <a:prstGeom prst="rect"/>
                    <a:ln/>
                  </pic:spPr>
                </pic:pic>
              </a:graphicData>
            </a:graphic>
          </wp:anchor>
        </w:drawing>
      </w:r>
    </w:p>
    <w:p w:rsidR="00000000" w:rsidDel="00000000" w:rsidP="00000000" w:rsidRDefault="00000000" w:rsidRPr="00000000" w14:paraId="00000002">
      <w:pPr>
        <w:spacing w:after="240" w:before="120" w:line="276" w:lineRule="auto"/>
        <w:ind w:right="-331"/>
        <w:jc w:val="both"/>
        <w:rPr>
          <w:rFonts w:ascii="Arial" w:cs="Arial" w:eastAsia="Arial" w:hAnsi="Arial"/>
          <w:b w:val="1"/>
          <w:color w:val="0070c0"/>
          <w:sz w:val="24"/>
          <w:szCs w:val="24"/>
        </w:rPr>
      </w:pPr>
      <w:r w:rsidDel="00000000" w:rsidR="00000000" w:rsidRPr="00000000">
        <w:rPr>
          <w:rFonts w:ascii="Arial" w:cs="Arial" w:eastAsia="Arial" w:hAnsi="Arial"/>
          <w:b w:val="1"/>
          <w:color w:val="0070c0"/>
          <w:sz w:val="24"/>
          <w:szCs w:val="24"/>
          <w:rtl w:val="0"/>
        </w:rPr>
        <w:t xml:space="preserve">Institutional Framework for Implementation: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2984500</wp:posOffset>
                </wp:positionH>
                <wp:positionV relativeFrom="paragraph">
                  <wp:posOffset>-3060699</wp:posOffset>
                </wp:positionV>
                <wp:extent cx="7195820" cy="1732280"/>
                <wp:effectExtent b="0" l="0" r="0" t="0"/>
                <wp:wrapNone/>
                <wp:docPr id="4" name=""/>
                <a:graphic>
                  <a:graphicData uri="http://schemas.microsoft.com/office/word/2010/wordprocessingShape">
                    <wps:wsp>
                      <wps:cNvSpPr/>
                      <wps:cNvPr id="5" name="Shape 5"/>
                      <wps:spPr>
                        <a:xfrm>
                          <a:off x="1754440" y="2920210"/>
                          <a:ext cx="7183120" cy="1719580"/>
                        </a:xfrm>
                        <a:prstGeom prst="roundRect">
                          <a:avLst>
                            <a:gd fmla="val 16667" name="adj"/>
                          </a:avLst>
                        </a:prstGeom>
                        <a:solidFill>
                          <a:srgbClr val="F2F2F2"/>
                        </a:solidFill>
                        <a:ln cap="flat" cmpd="sng" w="12700">
                          <a:solidFill>
                            <a:srgbClr val="A5A5A5"/>
                          </a:solidFill>
                          <a:prstDash val="solid"/>
                          <a:round/>
                          <a:headEnd len="sm" w="sm" type="none"/>
                          <a:tailEnd len="sm" w="sm" type="none"/>
                        </a:ln>
                      </wps:spPr>
                      <wps:txbx>
                        <w:txbxContent>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Country:		 </w:t>
                            </w:r>
                            <w:r w:rsidDel="00000000" w:rsidR="00000000" w:rsidRPr="00000000">
                              <w:rPr>
                                <w:rFonts w:ascii="Arial" w:cs="Arial" w:eastAsia="Arial" w:hAnsi="Arial"/>
                                <w:b w:val="0"/>
                                <w:i w:val="0"/>
                                <w:smallCaps w:val="0"/>
                                <w:strike w:val="0"/>
                                <w:color w:val="000000"/>
                                <w:sz w:val="32"/>
                                <w:vertAlign w:val="baseline"/>
                              </w:rPr>
                              <w:t xml:space="preserve">The Republic of The Gambia</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Name:	 </w:t>
                            </w:r>
                            <w:r w:rsidDel="00000000" w:rsidR="00000000" w:rsidRPr="00000000">
                              <w:rPr>
                                <w:rFonts w:ascii="Arial" w:cs="Arial" w:eastAsia="Arial" w:hAnsi="Arial"/>
                                <w:b w:val="0"/>
                                <w:i w:val="0"/>
                                <w:smallCaps w:val="0"/>
                                <w:strike w:val="0"/>
                                <w:color w:val="000000"/>
                                <w:sz w:val="32"/>
                                <w:vertAlign w:val="baseline"/>
                              </w:rPr>
                              <w:t xml:space="preserve">Western Africa Regional Digital Integration</w:t>
                            </w:r>
                            <w:r w:rsidDel="00000000" w:rsidR="00000000" w:rsidRPr="00000000">
                              <w:rPr>
                                <w:rFonts w:ascii="Arial" w:cs="Arial" w:eastAsia="Arial" w:hAnsi="Arial"/>
                                <w:b w:val="1"/>
                                <w:i w:val="0"/>
                                <w:smallCaps w:val="0"/>
                                <w:strike w:val="0"/>
                                <w:color w:val="000000"/>
                                <w:sz w:val="32"/>
                                <w:vertAlign w:val="baseline"/>
                              </w:rPr>
                              <w:t xml:space="preserve"> </w:t>
                            </w:r>
                            <w:r w:rsidDel="00000000" w:rsidR="00000000" w:rsidRPr="00000000">
                              <w:rPr>
                                <w:rFonts w:ascii="Arial" w:cs="Arial" w:eastAsia="Arial" w:hAnsi="Arial"/>
                                <w:b w:val="0"/>
                                <w:i w:val="0"/>
                                <w:smallCaps w:val="0"/>
                                <w:strike w:val="0"/>
                                <w:color w:val="000000"/>
                                <w:sz w:val="32"/>
                                <w:vertAlign w:val="baseline"/>
                              </w:rPr>
                              <w:t xml:space="preserve">Program</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ID:	 </w:t>
                            </w:r>
                            <w:r w:rsidDel="00000000" w:rsidR="00000000" w:rsidRPr="00000000">
                              <w:rPr>
                                <w:rFonts w:ascii="Arial" w:cs="Arial" w:eastAsia="Arial" w:hAnsi="Arial"/>
                                <w:b w:val="0"/>
                                <w:i w:val="0"/>
                                <w:smallCaps w:val="0"/>
                                <w:strike w:val="0"/>
                                <w:color w:val="000000"/>
                                <w:sz w:val="32"/>
                                <w:vertAlign w:val="baseline"/>
                              </w:rPr>
                              <w:t xml:space="preserve">176932</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Contract Ref:	  </w:t>
                            </w:r>
                            <w:r w:rsidDel="00000000" w:rsidR="00000000" w:rsidRPr="00000000">
                              <w:rPr>
                                <w:rFonts w:ascii="Arial" w:cs="Arial" w:eastAsia="Arial" w:hAnsi="Arial"/>
                                <w:b w:val="0"/>
                                <w:i w:val="0"/>
                                <w:smallCaps w:val="0"/>
                                <w:strike w:val="0"/>
                                <w:color w:val="000000"/>
                                <w:sz w:val="32"/>
                                <w:vertAlign w:val="baseline"/>
                              </w:rPr>
                              <w:t xml:space="preserve">WARDIP/C3.7/2024/ IC-IND007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120" w:before="0" w:line="240"/>
                              <w:ind w:left="720" w:right="-225"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333333"/>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2984500</wp:posOffset>
                </wp:positionH>
                <wp:positionV relativeFrom="paragraph">
                  <wp:posOffset>-3060699</wp:posOffset>
                </wp:positionV>
                <wp:extent cx="7195820" cy="173228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7195820" cy="1732280"/>
                        </a:xfrm>
                        <a:prstGeom prst="rect"/>
                        <a:ln/>
                      </pic:spPr>
                    </pic:pic>
                  </a:graphicData>
                </a:graphic>
              </wp:anchor>
            </w:drawing>
          </mc:Fallback>
        </mc:AlternateContent>
      </w:r>
    </w:p>
    <w:tbl>
      <w:tblPr>
        <w:tblStyle w:val="Table1"/>
        <w:tblW w:w="944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32"/>
        <w:gridCol w:w="972"/>
        <w:gridCol w:w="4941"/>
        <w:tblGridChange w:id="0">
          <w:tblGrid>
            <w:gridCol w:w="3532"/>
            <w:gridCol w:w="972"/>
            <w:gridCol w:w="4941"/>
          </w:tblGrid>
        </w:tblGridChange>
      </w:tblGrid>
      <w:tr>
        <w:trPr>
          <w:cantSplit w:val="0"/>
          <w:trHeight w:val="432" w:hRule="atLeast"/>
          <w:tblHeader w:val="1"/>
        </w:trPr>
        <w:tc>
          <w:tcPr>
            <w:shd w:fill="0070c0" w:val="clear"/>
            <w:vAlign w:val="center"/>
          </w:tcPr>
          <w:p w:rsidR="00000000" w:rsidDel="00000000" w:rsidP="00000000" w:rsidRDefault="00000000" w:rsidRPr="00000000" w14:paraId="00000003">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Policy Areas</w:t>
            </w:r>
          </w:p>
        </w:tc>
        <w:tc>
          <w:tcPr>
            <w:shd w:fill="0070c0" w:val="clear"/>
            <w:vAlign w:val="center"/>
          </w:tcPr>
          <w:p w:rsidR="00000000" w:rsidDel="00000000" w:rsidP="00000000" w:rsidRDefault="00000000" w:rsidRPr="00000000" w14:paraId="00000004">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Lead Agency</w:t>
            </w:r>
          </w:p>
        </w:tc>
        <w:tc>
          <w:tcPr>
            <w:shd w:fill="0070c0" w:val="clear"/>
            <w:vAlign w:val="center"/>
          </w:tcPr>
          <w:p w:rsidR="00000000" w:rsidDel="00000000" w:rsidP="00000000" w:rsidRDefault="00000000" w:rsidRPr="00000000" w14:paraId="00000005">
            <w:pPr>
              <w:spacing w:after="100" w:before="10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Stakeholders</w:t>
            </w:r>
          </w:p>
        </w:tc>
      </w:tr>
      <w:tr>
        <w:trPr>
          <w:cantSplit w:val="0"/>
          <w:trHeight w:val="20" w:hRule="atLeast"/>
          <w:tblHeader w:val="0"/>
        </w:trPr>
        <w:tc>
          <w:tcPr>
            <w:gridSpan w:val="3"/>
            <w:shd w:fill="f2f2f2" w:val="clear"/>
          </w:tcPr>
          <w:p w:rsidR="00000000" w:rsidDel="00000000" w:rsidP="00000000" w:rsidRDefault="00000000" w:rsidRPr="00000000" w14:paraId="00000006">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1: Enhance Governance</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09">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1.1: Establish a section under the National Cybersecurity Coordination Directorate to lead policy implementation, coordination, monitoring and evaluation</w:t>
            </w:r>
          </w:p>
        </w:tc>
        <w:tc>
          <w:tcPr>
            <w:vAlign w:val="center"/>
          </w:tcPr>
          <w:p w:rsidR="00000000" w:rsidDel="00000000" w:rsidP="00000000" w:rsidRDefault="00000000" w:rsidRPr="00000000" w14:paraId="0000000A">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NCCD</w:t>
            </w:r>
          </w:p>
        </w:tc>
        <w:tc>
          <w:tcPr>
            <w:vAlign w:val="center"/>
          </w:tcPr>
          <w:p w:rsidR="00000000" w:rsidDel="00000000" w:rsidP="00000000" w:rsidRDefault="00000000" w:rsidRPr="00000000" w14:paraId="0000000B">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MOCDE, PURA</w:t>
            </w:r>
          </w:p>
        </w:tc>
      </w:tr>
      <w:tr>
        <w:trPr>
          <w:cantSplit w:val="0"/>
          <w:trHeight w:val="20" w:hRule="atLeast"/>
          <w:tblHeader w:val="0"/>
        </w:trPr>
        <w:tc>
          <w:tcPr>
            <w:vAlign w:val="center"/>
          </w:tcPr>
          <w:p w:rsidR="00000000" w:rsidDel="00000000" w:rsidP="00000000" w:rsidRDefault="00000000" w:rsidRPr="00000000" w14:paraId="0000000C">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1.2: Establish a multi-sector stakeholder committee to engage relevant stakeholders</w:t>
            </w:r>
          </w:p>
        </w:tc>
        <w:tc>
          <w:tcPr>
            <w:vAlign w:val="center"/>
          </w:tcPr>
          <w:p w:rsidR="00000000" w:rsidDel="00000000" w:rsidP="00000000" w:rsidRDefault="00000000" w:rsidRPr="00000000" w14:paraId="0000000D">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NCCD</w:t>
            </w:r>
          </w:p>
        </w:tc>
        <w:tc>
          <w:tcPr>
            <w:vAlign w:val="center"/>
          </w:tcPr>
          <w:p w:rsidR="00000000" w:rsidDel="00000000" w:rsidP="00000000" w:rsidRDefault="00000000" w:rsidRPr="00000000" w14:paraId="0000000E">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MOBSE, MOCDE, MOGCSW, MOH, MOHERST, MOI, MOJ, NAATIP, NHRC, ONS, PURA, GCSA, ITAG, ISPs, GSM operators, content developers, civil society, academia, international development organizations, UN agencies</w:t>
            </w:r>
          </w:p>
        </w:tc>
      </w:tr>
      <w:tr>
        <w:trPr>
          <w:cantSplit w:val="0"/>
          <w:trHeight w:val="20" w:hRule="atLeast"/>
          <w:tblHeader w:val="0"/>
        </w:trPr>
        <w:tc>
          <w:tcPr>
            <w:vAlign w:val="center"/>
          </w:tcPr>
          <w:p w:rsidR="00000000" w:rsidDel="00000000" w:rsidP="00000000" w:rsidRDefault="00000000" w:rsidRPr="00000000" w14:paraId="0000000F">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1.3: Develop mechanisms to enable the participation of children and vulnerable groups in policymaking, implementation and review</w:t>
            </w:r>
          </w:p>
        </w:tc>
        <w:tc>
          <w:tcPr>
            <w:vAlign w:val="center"/>
          </w:tcPr>
          <w:p w:rsidR="00000000" w:rsidDel="00000000" w:rsidP="00000000" w:rsidRDefault="00000000" w:rsidRPr="00000000" w14:paraId="00000010">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NCCD</w:t>
            </w:r>
          </w:p>
        </w:tc>
        <w:tc>
          <w:tcPr>
            <w:vAlign w:val="center"/>
          </w:tcPr>
          <w:p w:rsidR="00000000" w:rsidDel="00000000" w:rsidP="00000000" w:rsidRDefault="00000000" w:rsidRPr="00000000" w14:paraId="00000011">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MOGCSW, Children National Assembly, Community Child Protection Committees, CEDAG, ChildFund The Gambia, CPA, ISRA, National Youth Council, SOS Children’s Villages, NGBV, SHOAW Gambia, Gambia Federation of the Disabled, organizations representing persons with disabilities and older persons, associations of parents and caregivers, UN agencies</w:t>
            </w:r>
          </w:p>
        </w:tc>
      </w:tr>
      <w:tr>
        <w:trPr>
          <w:cantSplit w:val="0"/>
          <w:trHeight w:val="20" w:hRule="atLeast"/>
          <w:tblHeader w:val="0"/>
        </w:trPr>
        <w:tc>
          <w:tcPr>
            <w:gridSpan w:val="3"/>
            <w:shd w:fill="f2f2f2" w:val="clear"/>
          </w:tcPr>
          <w:p w:rsidR="00000000" w:rsidDel="00000000" w:rsidP="00000000" w:rsidRDefault="00000000" w:rsidRPr="00000000" w14:paraId="00000012">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2: Build Institutional Capacity</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15">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2.1: Assess the institutional capacity needs of the newly established section under the National Cybersecurity Coordination Directorate that will lead policy implementation, coordination, monitoring and evaluation</w:t>
            </w:r>
          </w:p>
        </w:tc>
        <w:tc>
          <w:tcPr>
            <w:vAlign w:val="center"/>
          </w:tcPr>
          <w:p w:rsidR="00000000" w:rsidDel="00000000" w:rsidP="00000000" w:rsidRDefault="00000000" w:rsidRPr="00000000" w14:paraId="00000016">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NCCD</w:t>
            </w:r>
          </w:p>
        </w:tc>
        <w:tc>
          <w:tcPr>
            <w:vAlign w:val="center"/>
          </w:tcPr>
          <w:p w:rsidR="00000000" w:rsidDel="00000000" w:rsidP="00000000" w:rsidRDefault="00000000" w:rsidRPr="00000000" w14:paraId="00000017">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MOCDE, PURA</w:t>
            </w:r>
          </w:p>
        </w:tc>
      </w:tr>
      <w:tr>
        <w:trPr>
          <w:cantSplit w:val="0"/>
          <w:trHeight w:val="20" w:hRule="atLeast"/>
          <w:tblHeader w:val="0"/>
        </w:trPr>
        <w:tc>
          <w:tcPr>
            <w:vAlign w:val="center"/>
          </w:tcPr>
          <w:p w:rsidR="00000000" w:rsidDel="00000000" w:rsidP="00000000" w:rsidRDefault="00000000" w:rsidRPr="00000000" w14:paraId="00000018">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2.2: Strengthen institutional capacity based on the gap assessment</w:t>
            </w:r>
          </w:p>
        </w:tc>
        <w:tc>
          <w:tcPr>
            <w:vAlign w:val="center"/>
          </w:tcPr>
          <w:p w:rsidR="00000000" w:rsidDel="00000000" w:rsidP="00000000" w:rsidRDefault="00000000" w:rsidRPr="00000000" w14:paraId="00000019">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NCCD</w:t>
            </w:r>
          </w:p>
        </w:tc>
        <w:tc>
          <w:tcPr>
            <w:vAlign w:val="center"/>
          </w:tcPr>
          <w:p w:rsidR="00000000" w:rsidDel="00000000" w:rsidP="00000000" w:rsidRDefault="00000000" w:rsidRPr="00000000" w14:paraId="0000001A">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MOCDE, PURA</w:t>
            </w:r>
          </w:p>
        </w:tc>
      </w:tr>
      <w:tr>
        <w:trPr>
          <w:cantSplit w:val="0"/>
          <w:trHeight w:val="20" w:hRule="atLeast"/>
          <w:tblHeader w:val="0"/>
        </w:trPr>
        <w:tc>
          <w:tcPr>
            <w:gridSpan w:val="3"/>
            <w:shd w:fill="f2f2f2" w:val="clear"/>
          </w:tcPr>
          <w:p w:rsidR="00000000" w:rsidDel="00000000" w:rsidP="00000000" w:rsidRDefault="00000000" w:rsidRPr="00000000" w14:paraId="0000001B">
            <w:pPr>
              <w:spacing w:after="60" w:before="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Policy Pillar 3: Review and Reform Legal and Regulatory Frameworks</w:t>
            </w:r>
          </w:p>
        </w:tc>
      </w:tr>
      <w:tr>
        <w:trPr>
          <w:cantSplit w:val="0"/>
          <w:trHeight w:val="20" w:hRule="atLeast"/>
          <w:tblHeader w:val="0"/>
        </w:trPr>
        <w:tc>
          <w:tcPr>
            <w:vAlign w:val="center"/>
          </w:tcPr>
          <w:p w:rsidR="00000000" w:rsidDel="00000000" w:rsidP="00000000" w:rsidRDefault="00000000" w:rsidRPr="00000000" w14:paraId="0000001E">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3.1: Review legal and regulatory frameworks</w:t>
            </w:r>
          </w:p>
        </w:tc>
        <w:tc>
          <w:tcPr>
            <w:vAlign w:val="center"/>
          </w:tcPr>
          <w:p w:rsidR="00000000" w:rsidDel="00000000" w:rsidP="00000000" w:rsidRDefault="00000000" w:rsidRPr="00000000" w14:paraId="0000001F">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20">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MOBSE, MOGCSW, MOH, MOI, MOJ, NAATIP, ONS, PURA, National Assembly’s Select Committee on Health, Women, Children, Refugee, Disaster and Humanitarian Relief</w:t>
            </w:r>
          </w:p>
        </w:tc>
      </w:tr>
      <w:tr>
        <w:trPr>
          <w:cantSplit w:val="0"/>
          <w:trHeight w:val="20" w:hRule="atLeast"/>
          <w:tblHeader w:val="0"/>
        </w:trPr>
        <w:tc>
          <w:tcPr>
            <w:vAlign w:val="center"/>
          </w:tcPr>
          <w:p w:rsidR="00000000" w:rsidDel="00000000" w:rsidP="00000000" w:rsidRDefault="00000000" w:rsidRPr="00000000" w14:paraId="00000021">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3.2: Strengthen legal and regulatory frameworks</w:t>
            </w:r>
          </w:p>
        </w:tc>
        <w:tc>
          <w:tcPr>
            <w:vAlign w:val="center"/>
          </w:tcPr>
          <w:p w:rsidR="00000000" w:rsidDel="00000000" w:rsidP="00000000" w:rsidRDefault="00000000" w:rsidRPr="00000000" w14:paraId="00000022">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23">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MOBSE, MOGCSW, MOH, MOI, MOJ, NAATIP, ONS, PURA, National Assembly’s Select Committee on Health, Women, Children, Refugee, Disaster and Humanitarian Relief</w:t>
            </w:r>
          </w:p>
        </w:tc>
      </w:tr>
      <w:tr>
        <w:trPr>
          <w:cantSplit w:val="0"/>
          <w:trHeight w:val="20" w:hRule="atLeast"/>
          <w:tblHeader w:val="0"/>
        </w:trPr>
        <w:tc>
          <w:tcPr>
            <w:gridSpan w:val="3"/>
            <w:shd w:fill="f2f2f2" w:val="clear"/>
          </w:tcPr>
          <w:p w:rsidR="00000000" w:rsidDel="00000000" w:rsidP="00000000" w:rsidRDefault="00000000" w:rsidRPr="00000000" w14:paraId="00000024">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4: Strengthen Response and Support Systems</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27">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4.1: Strengthen systems of law enforcement and the judiciary in addressing online risks and harms</w:t>
            </w:r>
          </w:p>
        </w:tc>
        <w:tc>
          <w:tcPr>
            <w:vAlign w:val="center"/>
          </w:tcPr>
          <w:p w:rsidR="00000000" w:rsidDel="00000000" w:rsidP="00000000" w:rsidRDefault="00000000" w:rsidRPr="00000000" w14:paraId="00000028">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MOI / MOJ</w:t>
            </w:r>
          </w:p>
        </w:tc>
        <w:tc>
          <w:tcPr>
            <w:vAlign w:val="center"/>
          </w:tcPr>
          <w:p w:rsidR="00000000" w:rsidDel="00000000" w:rsidP="00000000" w:rsidRDefault="00000000" w:rsidRPr="00000000" w14:paraId="00000029">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Gambia Police Force, Gambia Police Female Network, Female Lawyers Association, Children’s Court, Juvenile Wing of the Prison Service, GM-CSIRT, MOCDE, MOGCSW, ONS</w:t>
            </w:r>
          </w:p>
        </w:tc>
      </w:tr>
      <w:tr>
        <w:trPr>
          <w:cantSplit w:val="0"/>
          <w:trHeight w:val="20" w:hRule="atLeast"/>
          <w:tblHeader w:val="0"/>
        </w:trPr>
        <w:tc>
          <w:tcPr>
            <w:vAlign w:val="center"/>
          </w:tcPr>
          <w:p w:rsidR="00000000" w:rsidDel="00000000" w:rsidP="00000000" w:rsidRDefault="00000000" w:rsidRPr="00000000" w14:paraId="0000002A">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4.2: Strengthen social service and child protection systems in addressing online risks and harms</w:t>
            </w:r>
          </w:p>
        </w:tc>
        <w:tc>
          <w:tcPr>
            <w:vAlign w:val="center"/>
          </w:tcPr>
          <w:p w:rsidR="00000000" w:rsidDel="00000000" w:rsidP="00000000" w:rsidRDefault="00000000" w:rsidRPr="00000000" w14:paraId="0000002B">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MOGCSW</w:t>
            </w:r>
          </w:p>
        </w:tc>
        <w:tc>
          <w:tcPr>
            <w:vAlign w:val="center"/>
          </w:tcPr>
          <w:p w:rsidR="00000000" w:rsidDel="00000000" w:rsidP="00000000" w:rsidRDefault="00000000" w:rsidRPr="00000000" w14:paraId="0000002C">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GM-CSIRT, MOCDE, MOH, Community Child Protection Committees, ChildFund The Gambia, CPA, SOS Children’s Villages, NGBV, SHOAW Gambia, Gambia Federation of the Disabled, UN agencies</w:t>
            </w:r>
          </w:p>
        </w:tc>
      </w:tr>
      <w:tr>
        <w:trPr>
          <w:cantSplit w:val="0"/>
          <w:trHeight w:val="20" w:hRule="atLeast"/>
          <w:tblHeader w:val="0"/>
        </w:trPr>
        <w:tc>
          <w:tcPr>
            <w:vAlign w:val="center"/>
          </w:tcPr>
          <w:p w:rsidR="00000000" w:rsidDel="00000000" w:rsidP="00000000" w:rsidRDefault="00000000" w:rsidRPr="00000000" w14:paraId="0000002D">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4.3: Strengthen the national helpline and one-stop centers for incident reporting of online exploitation and abuse, and supporting survivors and at-risk groups</w:t>
            </w:r>
          </w:p>
        </w:tc>
        <w:tc>
          <w:tcPr>
            <w:vAlign w:val="center"/>
          </w:tcPr>
          <w:p w:rsidR="00000000" w:rsidDel="00000000" w:rsidP="00000000" w:rsidRDefault="00000000" w:rsidRPr="00000000" w14:paraId="0000002E">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MOGCSW</w:t>
            </w:r>
          </w:p>
        </w:tc>
        <w:tc>
          <w:tcPr>
            <w:vAlign w:val="center"/>
          </w:tcPr>
          <w:p w:rsidR="00000000" w:rsidDel="00000000" w:rsidP="00000000" w:rsidRDefault="00000000" w:rsidRPr="00000000" w14:paraId="0000002F">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GM-CSIRT, MOCDE, MOH, National helpline, one-stop centers</w:t>
            </w:r>
          </w:p>
        </w:tc>
      </w:tr>
      <w:tr>
        <w:trPr>
          <w:cantSplit w:val="0"/>
          <w:trHeight w:val="20" w:hRule="atLeast"/>
          <w:tblHeader w:val="0"/>
        </w:trPr>
        <w:tc>
          <w:tcPr>
            <w:gridSpan w:val="3"/>
            <w:shd w:fill="f2f2f2" w:val="clear"/>
          </w:tcPr>
          <w:p w:rsidR="00000000" w:rsidDel="00000000" w:rsidP="00000000" w:rsidRDefault="00000000" w:rsidRPr="00000000" w14:paraId="00000030">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5: Engage Digital Service Providers</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33">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5.1: Develop codes of conduct, protocols and/or guidelines for internet service providers on the protection of children and vulnerable groups online</w:t>
            </w:r>
          </w:p>
        </w:tc>
        <w:tc>
          <w:tcPr>
            <w:vAlign w:val="center"/>
          </w:tcPr>
          <w:p w:rsidR="00000000" w:rsidDel="00000000" w:rsidP="00000000" w:rsidRDefault="00000000" w:rsidRPr="00000000" w14:paraId="00000034">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35">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PURA, MOGCSW, Africell, Comium, DK Telecom, Gamtel, INET, Netpage, Qcell, Unique Solutions, SIXP, organizations representing children and vulnerable groups</w:t>
            </w:r>
          </w:p>
        </w:tc>
      </w:tr>
      <w:tr>
        <w:trPr>
          <w:cantSplit w:val="0"/>
          <w:trHeight w:val="20" w:hRule="atLeast"/>
          <w:tblHeader w:val="0"/>
        </w:trPr>
        <w:tc>
          <w:tcPr>
            <w:vAlign w:val="center"/>
          </w:tcPr>
          <w:p w:rsidR="00000000" w:rsidDel="00000000" w:rsidP="00000000" w:rsidRDefault="00000000" w:rsidRPr="00000000" w14:paraId="00000036">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5.2: Develop codes of conduct, protocols and/or guidelines for GSM operators on the protection of children and vulnerable groups online</w:t>
            </w:r>
          </w:p>
        </w:tc>
        <w:tc>
          <w:tcPr>
            <w:vAlign w:val="center"/>
          </w:tcPr>
          <w:p w:rsidR="00000000" w:rsidDel="00000000" w:rsidP="00000000" w:rsidRDefault="00000000" w:rsidRPr="00000000" w14:paraId="00000037">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38">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PURA, MOGCSW, Africell, Comium, Gamcel, Qcell, organizations representing children and vulnerable groups</w:t>
            </w:r>
          </w:p>
        </w:tc>
      </w:tr>
      <w:tr>
        <w:trPr>
          <w:cantSplit w:val="0"/>
          <w:trHeight w:val="20" w:hRule="atLeast"/>
          <w:tblHeader w:val="0"/>
        </w:trPr>
        <w:tc>
          <w:tcPr>
            <w:vAlign w:val="center"/>
          </w:tcPr>
          <w:p w:rsidR="00000000" w:rsidDel="00000000" w:rsidP="00000000" w:rsidRDefault="00000000" w:rsidRPr="00000000" w14:paraId="00000039">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5.3: Develop codes of conduct, protocols and/or guidelines for content developers on the protection of children and vulnerable groups online</w:t>
            </w:r>
          </w:p>
        </w:tc>
        <w:tc>
          <w:tcPr>
            <w:vAlign w:val="center"/>
          </w:tcPr>
          <w:p w:rsidR="00000000" w:rsidDel="00000000" w:rsidP="00000000" w:rsidRDefault="00000000" w:rsidRPr="00000000" w14:paraId="0000003A">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3B">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PURA, MOGCSW, GamCON, GCSA, ITAG, app creators, website designers, game developers, social media platform operators, organizations representing children and vulnerable groups</w:t>
            </w:r>
          </w:p>
        </w:tc>
      </w:tr>
      <w:tr>
        <w:trPr>
          <w:cantSplit w:val="0"/>
          <w:trHeight w:val="20" w:hRule="atLeast"/>
          <w:tblHeader w:val="0"/>
        </w:trPr>
        <w:tc>
          <w:tcPr>
            <w:gridSpan w:val="3"/>
            <w:shd w:fill="f2f2f2" w:val="clear"/>
          </w:tcPr>
          <w:p w:rsidR="00000000" w:rsidDel="00000000" w:rsidP="00000000" w:rsidRDefault="00000000" w:rsidRPr="00000000" w14:paraId="0000003C">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6: Improve Training for Law Enforcement, Judiciary and Social Service</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3F">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6.1: Enhance the capacity of law enforcement and the judiciary in addressing online risks and harms</w:t>
            </w:r>
          </w:p>
        </w:tc>
        <w:tc>
          <w:tcPr>
            <w:vAlign w:val="center"/>
          </w:tcPr>
          <w:p w:rsidR="00000000" w:rsidDel="00000000" w:rsidP="00000000" w:rsidRDefault="00000000" w:rsidRPr="00000000" w14:paraId="00000040">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MOI / MOJ</w:t>
            </w:r>
          </w:p>
        </w:tc>
        <w:tc>
          <w:tcPr>
            <w:vAlign w:val="center"/>
          </w:tcPr>
          <w:p w:rsidR="00000000" w:rsidDel="00000000" w:rsidP="00000000" w:rsidRDefault="00000000" w:rsidRPr="00000000" w14:paraId="00000041">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Gambia Police Force, Gambia Police Female Network, Female Lawyers Association, Children’s Court, Juvenile Wing of the Prison Service, MOCDE, MOGCSW, ONS</w:t>
            </w:r>
          </w:p>
        </w:tc>
      </w:tr>
      <w:tr>
        <w:trPr>
          <w:cantSplit w:val="0"/>
          <w:trHeight w:val="20" w:hRule="atLeast"/>
          <w:tblHeader w:val="0"/>
        </w:trPr>
        <w:tc>
          <w:tcPr>
            <w:vAlign w:val="center"/>
          </w:tcPr>
          <w:p w:rsidR="00000000" w:rsidDel="00000000" w:rsidP="00000000" w:rsidRDefault="00000000" w:rsidRPr="00000000" w14:paraId="00000042">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6.2: Enhance the capacity of the social service and child protection workforce in addressing online risks and harms</w:t>
            </w:r>
          </w:p>
        </w:tc>
        <w:tc>
          <w:tcPr>
            <w:vAlign w:val="center"/>
          </w:tcPr>
          <w:p w:rsidR="00000000" w:rsidDel="00000000" w:rsidP="00000000" w:rsidRDefault="00000000" w:rsidRPr="00000000" w14:paraId="00000043">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MOGCSW</w:t>
            </w:r>
          </w:p>
        </w:tc>
        <w:tc>
          <w:tcPr>
            <w:vAlign w:val="center"/>
          </w:tcPr>
          <w:p w:rsidR="00000000" w:rsidDel="00000000" w:rsidP="00000000" w:rsidRDefault="00000000" w:rsidRPr="00000000" w14:paraId="00000044">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 MOH, Community Child Protection Committees, ChildFund The Gambia, CPA, SOS Children’s Villages, NGBV, SHOAW Gambia, Gambia Federation of the Disabled, UN agencies</w:t>
            </w:r>
          </w:p>
        </w:tc>
      </w:tr>
      <w:tr>
        <w:trPr>
          <w:cantSplit w:val="0"/>
          <w:trHeight w:val="20" w:hRule="atLeast"/>
          <w:tblHeader w:val="0"/>
        </w:trPr>
        <w:tc>
          <w:tcPr>
            <w:gridSpan w:val="3"/>
            <w:shd w:fill="f2f2f2" w:val="clear"/>
          </w:tcPr>
          <w:p w:rsidR="00000000" w:rsidDel="00000000" w:rsidP="00000000" w:rsidRDefault="00000000" w:rsidRPr="00000000" w14:paraId="00000045">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7: Incorporate Online Safety in Education</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48">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7.1: Integrate online safety education for children into school curricula, including as a critical component of digital literacy education</w:t>
            </w:r>
          </w:p>
        </w:tc>
        <w:tc>
          <w:tcPr>
            <w:vAlign w:val="center"/>
          </w:tcPr>
          <w:p w:rsidR="00000000" w:rsidDel="00000000" w:rsidP="00000000" w:rsidRDefault="00000000" w:rsidRPr="00000000" w14:paraId="00000049">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MOBSE</w:t>
            </w:r>
          </w:p>
        </w:tc>
        <w:tc>
          <w:tcPr>
            <w:vAlign w:val="center"/>
          </w:tcPr>
          <w:p w:rsidR="00000000" w:rsidDel="00000000" w:rsidP="00000000" w:rsidRDefault="00000000" w:rsidRPr="00000000" w14:paraId="0000004A">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 MOGCSW, MOHERST</w:t>
            </w:r>
          </w:p>
        </w:tc>
      </w:tr>
      <w:tr>
        <w:trPr>
          <w:cantSplit w:val="0"/>
          <w:trHeight w:val="20" w:hRule="atLeast"/>
          <w:tblHeader w:val="0"/>
        </w:trPr>
        <w:tc>
          <w:tcPr>
            <w:vAlign w:val="center"/>
          </w:tcPr>
          <w:p w:rsidR="00000000" w:rsidDel="00000000" w:rsidP="00000000" w:rsidRDefault="00000000" w:rsidRPr="00000000" w14:paraId="0000004B">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7.2: Develop protections and procurement standards for education technology and technology used in schools</w:t>
            </w:r>
          </w:p>
        </w:tc>
        <w:tc>
          <w:tcPr>
            <w:vAlign w:val="center"/>
          </w:tcPr>
          <w:p w:rsidR="00000000" w:rsidDel="00000000" w:rsidP="00000000" w:rsidRDefault="00000000" w:rsidRPr="00000000" w14:paraId="0000004C">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MOBSE</w:t>
            </w:r>
          </w:p>
        </w:tc>
        <w:tc>
          <w:tcPr>
            <w:vAlign w:val="center"/>
          </w:tcPr>
          <w:p w:rsidR="00000000" w:rsidDel="00000000" w:rsidP="00000000" w:rsidRDefault="00000000" w:rsidRPr="00000000" w14:paraId="0000004D">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 MOGCSW, MOHERST, education technology companies </w:t>
            </w:r>
          </w:p>
        </w:tc>
      </w:tr>
      <w:tr>
        <w:trPr>
          <w:cantSplit w:val="0"/>
          <w:trHeight w:val="20" w:hRule="atLeast"/>
          <w:tblHeader w:val="0"/>
        </w:trPr>
        <w:tc>
          <w:tcPr>
            <w:gridSpan w:val="3"/>
            <w:shd w:fill="f2f2f2" w:val="clear"/>
          </w:tcPr>
          <w:p w:rsidR="00000000" w:rsidDel="00000000" w:rsidP="00000000" w:rsidRDefault="00000000" w:rsidRPr="00000000" w14:paraId="0000004E">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8: Raise Public Awareness on Online Safety</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51">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8.1: Organize targeted awareness raising campaigns on online safety for children and vulnerable groups, and their parents and caregivers</w:t>
            </w:r>
          </w:p>
        </w:tc>
        <w:tc>
          <w:tcPr>
            <w:vAlign w:val="center"/>
          </w:tcPr>
          <w:p w:rsidR="00000000" w:rsidDel="00000000" w:rsidP="00000000" w:rsidRDefault="00000000" w:rsidRPr="00000000" w14:paraId="00000052">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MOGCSW</w:t>
            </w:r>
          </w:p>
        </w:tc>
        <w:tc>
          <w:tcPr>
            <w:vAlign w:val="center"/>
          </w:tcPr>
          <w:p w:rsidR="00000000" w:rsidDel="00000000" w:rsidP="00000000" w:rsidRDefault="00000000" w:rsidRPr="00000000" w14:paraId="00000053">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MOBSE, MOCDE, MOH, Gambia Broadcasting Association, Gambia Press Union, Children National Assembly, CEDAG, ChildFund The Gambia, CPA, SOS Children’s Villages, National Youth Council, NGBV, SHOAW Gambia, Gambia Federation of the Disabled, organizations representing persons with disabilities and older persons, associations of parents and caregivers, religious institutions, academia, the private sector, media agencies, international development organizations, UN agencies</w:t>
            </w:r>
          </w:p>
        </w:tc>
      </w:tr>
      <w:tr>
        <w:trPr>
          <w:cantSplit w:val="0"/>
          <w:trHeight w:val="20" w:hRule="atLeast"/>
          <w:tblHeader w:val="0"/>
        </w:trPr>
        <w:tc>
          <w:tcPr>
            <w:gridSpan w:val="3"/>
            <w:shd w:fill="f2f2f2" w:val="clear"/>
          </w:tcPr>
          <w:p w:rsidR="00000000" w:rsidDel="00000000" w:rsidP="00000000" w:rsidRDefault="00000000" w:rsidRPr="00000000" w14:paraId="00000054">
            <w:pPr>
              <w:spacing w:after="60" w:before="60" w:lineRule="auto"/>
              <w:jc w:val="center"/>
              <w:rPr>
                <w:rFonts w:ascii="Arial" w:cs="Arial" w:eastAsia="Arial" w:hAnsi="Arial"/>
                <w:sz w:val="20"/>
                <w:szCs w:val="20"/>
              </w:rPr>
            </w:pPr>
            <w:r w:rsidDel="00000000" w:rsidR="00000000" w:rsidRPr="00000000">
              <w:rPr>
                <w:rFonts w:ascii="Arial" w:cs="Arial" w:eastAsia="Arial" w:hAnsi="Arial"/>
                <w:b w:val="1"/>
                <w:sz w:val="18"/>
                <w:szCs w:val="18"/>
                <w:rtl w:val="0"/>
              </w:rPr>
              <w:t xml:space="preserve">Policy Pillar 9: Promote Research and Development</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57">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9.1: Develop a plan for data collection, monitoring and evaluation to inform policy implementation and improvement</w:t>
            </w:r>
          </w:p>
        </w:tc>
        <w:tc>
          <w:tcPr>
            <w:vAlign w:val="center"/>
          </w:tcPr>
          <w:p w:rsidR="00000000" w:rsidDel="00000000" w:rsidP="00000000" w:rsidRDefault="00000000" w:rsidRPr="00000000" w14:paraId="00000058">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59">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Bureau of Statistics, GICTA, MOBSE, MOGCSW, MOH, MOHERST, PURA</w:t>
            </w:r>
          </w:p>
        </w:tc>
      </w:tr>
      <w:tr>
        <w:trPr>
          <w:cantSplit w:val="0"/>
          <w:trHeight w:val="20" w:hRule="atLeast"/>
          <w:tblHeader w:val="0"/>
        </w:trPr>
        <w:tc>
          <w:tcPr>
            <w:gridSpan w:val="3"/>
            <w:shd w:fill="f2f2f2" w:val="clear"/>
          </w:tcPr>
          <w:p w:rsidR="00000000" w:rsidDel="00000000" w:rsidP="00000000" w:rsidRDefault="00000000" w:rsidRPr="00000000" w14:paraId="0000005A">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10: Enhance International Cooperation</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5D">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10.1: Formalize cooperations with regional and global organizations for joint investments in the online protection of children and vulnerable groups</w:t>
            </w:r>
          </w:p>
        </w:tc>
        <w:tc>
          <w:tcPr>
            <w:vAlign w:val="center"/>
          </w:tcPr>
          <w:p w:rsidR="00000000" w:rsidDel="00000000" w:rsidP="00000000" w:rsidRDefault="00000000" w:rsidRPr="00000000" w14:paraId="0000005E">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5F">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MOBSE, MOGCSW, MOI, MOJ, African Union, African Development Bank, ECOWAS, EU, INTERPOL, ITU, UNICEF, UN Women and other UN agencies, World Bank</w:t>
            </w:r>
          </w:p>
        </w:tc>
      </w:tr>
      <w:tr>
        <w:trPr>
          <w:cantSplit w:val="0"/>
          <w:trHeight w:val="20" w:hRule="atLeast"/>
          <w:tblHeader w:val="0"/>
        </w:trPr>
        <w:tc>
          <w:tcPr>
            <w:vAlign w:val="center"/>
          </w:tcPr>
          <w:p w:rsidR="00000000" w:rsidDel="00000000" w:rsidP="00000000" w:rsidRDefault="00000000" w:rsidRPr="00000000" w14:paraId="00000060">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10.2: Participate in the international and regional exchange of knowledge and experience on the online protection of children and vulnerable groups</w:t>
            </w:r>
          </w:p>
        </w:tc>
        <w:tc>
          <w:tcPr>
            <w:vAlign w:val="center"/>
          </w:tcPr>
          <w:p w:rsidR="00000000" w:rsidDel="00000000" w:rsidP="00000000" w:rsidRDefault="00000000" w:rsidRPr="00000000" w14:paraId="00000061">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62">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MOBSE, MOGCSW, MOI, MOJ, African Union, African Development Bank, ECOWAS, EU, INTERPOL, ITU, UNICEF, UN Women and other UN agencies, World Bank</w:t>
            </w:r>
          </w:p>
        </w:tc>
      </w:tr>
      <w:tr>
        <w:trPr>
          <w:cantSplit w:val="0"/>
          <w:trHeight w:val="20" w:hRule="atLeast"/>
          <w:tblHeader w:val="0"/>
        </w:trPr>
        <w:tc>
          <w:tcPr>
            <w:gridSpan w:val="3"/>
            <w:shd w:fill="f2f2f2" w:val="clear"/>
          </w:tcPr>
          <w:p w:rsidR="00000000" w:rsidDel="00000000" w:rsidP="00000000" w:rsidRDefault="00000000" w:rsidRPr="00000000" w14:paraId="00000063">
            <w:pPr>
              <w:spacing w:after="60" w:before="60"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Policy Pillar 11: Integrate Child and Vulnerable Groups Online Protection in Emergencies and Pandemics</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66">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11.1: Develop crisis response protocols to ensure the continuity of online protection for children and vulnerable groups during emergencies and pandemics</w:t>
            </w:r>
          </w:p>
        </w:tc>
        <w:tc>
          <w:tcPr>
            <w:vAlign w:val="center"/>
          </w:tcPr>
          <w:p w:rsidR="00000000" w:rsidDel="00000000" w:rsidP="00000000" w:rsidRDefault="00000000" w:rsidRPr="00000000" w14:paraId="00000067">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MOCDE</w:t>
            </w:r>
          </w:p>
        </w:tc>
        <w:tc>
          <w:tcPr>
            <w:vAlign w:val="center"/>
          </w:tcPr>
          <w:p w:rsidR="00000000" w:rsidDel="00000000" w:rsidP="00000000" w:rsidRDefault="00000000" w:rsidRPr="00000000" w14:paraId="00000068">
            <w:pPr>
              <w:spacing w:after="100" w:before="10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GICTA, GM-CSIRT, MOBSE, MOGCSW, MOH, MOI, MOJ, NAATIP, NDMA, ONS, PURA, National Assembly’s Select Committee on Health, Women, Children, Refugee, Disaster and Humanitarian Relief, Red Cross and Red Crescent Societies, humanitarian response agencies, civil society, media agencies, UN agencies</w:t>
            </w:r>
          </w:p>
        </w:tc>
      </w:tr>
    </w:tbl>
    <w:p w:rsidR="00000000" w:rsidDel="00000000" w:rsidP="00000000" w:rsidRDefault="00000000" w:rsidRPr="00000000" w14:paraId="00000069">
      <w:pPr>
        <w:spacing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spacing w:line="240" w:lineRule="auto"/>
        <w:ind w:right="-334"/>
        <w:jc w:val="both"/>
        <w:rPr>
          <w:rFonts w:ascii="Arial" w:cs="Arial" w:eastAsia="Arial" w:hAnsi="Arial"/>
          <w:sz w:val="20"/>
          <w:szCs w:val="20"/>
        </w:rPr>
      </w:pPr>
      <w:bookmarkStart w:colFirst="0" w:colLast="0" w:name="_30j0zll" w:id="1"/>
      <w:bookmarkEnd w:id="1"/>
      <w:r w:rsidDel="00000000" w:rsidR="00000000" w:rsidRPr="00000000">
        <w:rPr>
          <w:rFonts w:ascii="Arial" w:cs="Arial" w:eastAsia="Arial" w:hAnsi="Arial"/>
          <w:sz w:val="16"/>
          <w:szCs w:val="16"/>
          <w:rtl w:val="0"/>
        </w:rPr>
        <w:t xml:space="preserve">Notes: CEDAG = Child and Environment Development Association; CPA = Child Protection Alliance; ECOWAS = Economic Community of West African States; EU = European Union; GCSA = Gambia Cyber Security Alliance; GICTA = Gambia Information Communications Technology Agency; GM-CSIRT = The Gambia Computer Security Incident Response Team; GSM = Global System for Mobile Communication; INTERPOL = International Criminal Police Organization; ISP = Internet Service Provider; ISRA = Institute for Social Reformation and Action; ITAG = Information Technology Association of The Gambia; ITU = International Telecommunication Union; MOBSE = Ministry of Basic and Secondary Education; MOCDE = Ministry of Communications and Digital Economy; MOGCSW = Ministry of Gender, Children and Social Welfare; MOH = Ministry of Health; MOHERST = Ministry of Higher Education, Research, Science and Technology; MOI = Ministry of Interior; MOJ = Ministry of Justice; NAATIP = National Agency Against Trafficking in Person; NCCD = National Cybersecurity Coordination Directorate; NDMA = National Disaster Management Agency; NGBV = Network Against Gender Based Violence; NHRC = National Human Right Commission; ONS = Office of National Security; PURA = Public Utilities Regulatory Authority; SHOAW = Stop Harassment and Online Abuses of Women and Girls; SIXP = Serekunda Internet Exchange Point; UN = United Nations; UNICEF = United Nations Children’s Fund.</w:t>
      </w:r>
      <w:r w:rsidDel="00000000" w:rsidR="00000000" w:rsidRPr="00000000">
        <w:rPr>
          <w:rFonts w:ascii="Arial" w:cs="Arial" w:eastAsia="Arial" w:hAnsi="Arial"/>
          <w:sz w:val="20"/>
          <w:szCs w:val="20"/>
          <w:rtl w:val="0"/>
        </w:rPr>
        <w:t xml:space="preserve"> </w:t>
      </w:r>
    </w:p>
    <w:sectPr>
      <w:footerReference r:id="rId11" w:type="default"/>
      <w:footerReference r:id="rId12" w:type="first"/>
      <w:pgSz w:h="16838" w:w="11906" w:orient="portrait"/>
      <w:pgMar w:bottom="990" w:top="1440" w:left="1440" w:right="1440" w:header="708" w:footer="32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6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Institutional Framework for Implementation                                                                 October, 2024</w:t>
      <w:tab/>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-114299</wp:posOffset>
              </wp:positionV>
              <wp:extent cx="7781925" cy="459105"/>
              <wp:effectExtent b="0" l="0" r="0" t="0"/>
              <wp:wrapNone/>
              <wp:docPr id="2" name=""/>
              <a:graphic>
                <a:graphicData uri="http://schemas.microsoft.com/office/word/2010/wordprocessingShape">
                  <wps:wsp>
                    <wps:cNvSpPr/>
                    <wps:cNvPr id="3" name="Shape 3"/>
                    <wps:spPr>
                      <a:xfrm>
                        <a:off x="1459800" y="3555210"/>
                        <a:ext cx="7772400" cy="44958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808080"/>
                              <w:sz w:val="40"/>
                              <w:vertAlign w:val="baseline"/>
                            </w:rPr>
                            <w:t xml:space="preserve"> October, 2024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-114299</wp:posOffset>
              </wp:positionV>
              <wp:extent cx="7781925" cy="45910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81925" cy="45910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240" w:before="240" w:line="276" w:lineRule="auto"/>
      <w:ind w:hanging="634"/>
    </w:pPr>
    <w:rPr>
      <w:rFonts w:ascii="Arial" w:cs="Arial" w:eastAsia="Arial" w:hAnsi="Arial"/>
      <w:b w:val="1"/>
    </w:rPr>
  </w:style>
  <w:style w:type="paragraph" w:styleId="Heading3">
    <w:name w:val="heading 3"/>
    <w:basedOn w:val="Normal"/>
    <w:next w:val="Normal"/>
    <w:pPr>
      <w:keepNext w:val="1"/>
      <w:keepLines w:val="1"/>
      <w:spacing w:after="240" w:before="240" w:line="276" w:lineRule="auto"/>
      <w:ind w:hanging="630"/>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5.png"/><Relationship Id="rId12" Type="http://schemas.openxmlformats.org/officeDocument/2006/relationships/footer" Target="footer2.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